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775-6k_gclglobal.htm"/>
      <w:bookmarkStart w:id="1" w:name="ksea03057756k_gclglobal"/>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Notification of Additional 180-Calendar-Day Period to Cure Minimum Bid Price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Form 6-K furnished on March 23, 2026, GCL Global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written notice from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dated March 17, 2026 notifying the Company that it is not in compliance with Nasdaq Rule 5450(a)(1) (the “</w:t>
      </w:r>
      <w:r>
        <w:rPr>
          <w:rFonts w:ascii="Times New Roman;Times;Serif" w:hAnsi="Times New Roman;Times;Serif"/>
          <w:b/>
          <w:i w:val="false"/>
          <w:caps w:val="false"/>
          <w:smallCaps w:val="false"/>
          <w:sz w:val="20"/>
        </w:rPr>
        <w:t>Minimum Bid Price Rule”</w:t>
      </w:r>
      <w:r>
        <w:rPr>
          <w:rFonts w:ascii="Times New Roman;Times;Serif" w:hAnsi="Times New Roman;Times;Serif"/>
          <w:b w:val="false"/>
          <w:i w:val="false"/>
          <w:caps w:val="false"/>
          <w:smallCaps w:val="false"/>
          <w:sz w:val="20"/>
        </w:rPr>
        <w:t>), as the closing bid price for the Company’s ordinary shares had been below $1.00 per share for the preceding 30 consecutive business days. The Company was provided 180 calendar days, or until September 14, 2026 (the “</w:t>
      </w:r>
      <w:r>
        <w:rPr>
          <w:rFonts w:ascii="Times New Roman;Times;Serif" w:hAnsi="Times New Roman;Times;Serif"/>
          <w:b/>
          <w:i w:val="false"/>
          <w:caps w:val="false"/>
          <w:smallCaps w:val="false"/>
          <w:sz w:val="20"/>
        </w:rPr>
        <w:t>Initial Compliance Period</w:t>
      </w:r>
      <w:r>
        <w:rPr>
          <w:rFonts w:ascii="Times New Roman;Times;Serif" w:hAnsi="Times New Roman;Times;Serif"/>
          <w:b w:val="false"/>
          <w:i w:val="false"/>
          <w:caps w:val="false"/>
          <w:smallCaps w:val="false"/>
          <w:sz w:val="20"/>
        </w:rPr>
        <w:t>”), to regain compliance with the Minimum Bid Price Rule pursuant to Nasdaq Listing Rule 5810(c)(3)(A). The Company did not regain compliance with the Minimum Bid Price Rule during the Initial Compliance Period and submitted a written request to Nasdaq to transfer the listing of its securities from The Nasdaq Global Select Market to The Nasdaq Capital Market and provide it with an additional 180 calendar days to cure the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the Company received written notification from Nasdaq advising that the Company’s ordinary shares will be transferred to the Nasdaq Capital Market at the opening of business on September 18, 2026 and that the Company had been granted an additional 180 calendar days, or until March 15, 2027 (the “</w:t>
      </w:r>
      <w:r>
        <w:rPr>
          <w:rFonts w:ascii="Times New Roman;Times;Serif" w:hAnsi="Times New Roman;Times;Serif"/>
          <w:b/>
          <w:i w:val="false"/>
          <w:caps w:val="false"/>
          <w:smallCaps w:val="false"/>
          <w:sz w:val="20"/>
        </w:rPr>
        <w:t>Second Compliance Period</w:t>
      </w:r>
      <w:r>
        <w:rPr>
          <w:rFonts w:ascii="Times New Roman;Times;Serif" w:hAnsi="Times New Roman;Times;Serif"/>
          <w:b w:val="false"/>
          <w:i w:val="false"/>
          <w:caps w:val="false"/>
          <w:smallCaps w:val="false"/>
          <w:sz w:val="20"/>
        </w:rPr>
        <w:t>”), to regain compliance with the Minimum Bid Price Rule. Nasdaq’s determination was based on the Company meeting the applicable market value of publicly held shares required for continued listing and all other applicable requirements for initial listing on The Nasdaq Capital Market (except for the bid price requirement), and the Company’s written notice of its intention to cure the deficiency during the Second Compliance Period by effecting a reverse stock split,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Second Compliance Period, the closing bid price of the Company’s ordinary shares is at least $1.00 per share for a minimum of 10 consecutive business days, Nasdaq will provide the Company with written confirmation and will close the matter. However, Nasdaq may, in its discretion, require the Company’s ordinary shares maintain a bid price of at least $1.00 for a period in excess of 10 consecutive business days, but generally no more than 20 consecutive business days, before determining that the Company has demonstrated an ability to maintain long-term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monitoring the closing bid price of its ordinary shares and evaluating options to regain compliance with the Minimum Bid Price Rule, including by effecting a reverse stock split, if necessary. However, there can be no assurance that the Company will be able to regain or maintain compliance with the Minimum Bid Price Rule during the Second Compliance Period. If the Company does not regain compliance with the Minimum Bid Price Rule by the end of the Second Compliance Period, the Company’s ordinary shares will be subject to delisting. The Company would then be entitled to appeal that determination to a Nasdaq hearings panel, although there can be no assurance that such an appeal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Company issued a press release on this matter. A copy of the press release is being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current report is incorporated by reference in the Company’s three resale registration statements on Form F-3 (File No. </w:t>
      </w:r>
      <w:hyperlink r:id="rId2">
        <w:r>
          <w:rPr>
            <w:rStyle w:val="InternetLink"/>
            <w:rFonts w:ascii="Times New Roman;Times;Serif" w:hAnsi="Times New Roman;Times;Serif"/>
            <w:b w:val="false"/>
            <w:i w:val="false"/>
            <w:caps w:val="false"/>
            <w:smallCaps w:val="false"/>
            <w:sz w:val="20"/>
          </w:rPr>
          <w:t>333-286361</w:t>
        </w:r>
      </w:hyperlink>
      <w:r>
        <w:rPr>
          <w:rFonts w:ascii="Times New Roman;Times;Serif" w:hAnsi="Times New Roman;Times;Serif"/>
          <w:b w:val="false"/>
          <w:i w:val="false"/>
          <w:caps w:val="false"/>
          <w:smallCaps w:val="false"/>
          <w:sz w:val="20"/>
        </w:rPr>
        <w:t xml:space="preserve">; File No. </w:t>
      </w:r>
      <w:hyperlink r:id="rId3">
        <w:r>
          <w:rPr>
            <w:rStyle w:val="InternetLink"/>
            <w:rFonts w:ascii="Times New Roman;Times;Serif" w:hAnsi="Times New Roman;Times;Serif"/>
            <w:b w:val="false"/>
            <w:i w:val="false"/>
            <w:caps w:val="false"/>
            <w:smallCaps w:val="false"/>
            <w:sz w:val="20"/>
          </w:rPr>
          <w:t>333-290032</w:t>
        </w:r>
      </w:hyperlink>
      <w:r>
        <w:rPr>
          <w:rFonts w:ascii="Times New Roman;Times;Serif" w:hAnsi="Times New Roman;Times;Serif"/>
          <w:b w:val="false"/>
          <w:i w:val="false"/>
          <w:caps w:val="false"/>
          <w:smallCaps w:val="false"/>
          <w:sz w:val="20"/>
        </w:rPr>
        <w:t xml:space="preserve">; and File No. </w:t>
      </w:r>
      <w:hyperlink r:id="rId4">
        <w:r>
          <w:rPr>
            <w:rStyle w:val="InternetLink"/>
            <w:rFonts w:ascii="Times New Roman;Times;Serif" w:hAnsi="Times New Roman;Times;Serif"/>
            <w:b w:val="false"/>
            <w:i w:val="false"/>
            <w:caps w:val="false"/>
            <w:smallCaps w:val="false"/>
            <w:sz w:val="20"/>
          </w:rPr>
          <w:t>333-298717</w:t>
        </w:r>
      </w:hyperlink>
      <w:r>
        <w:rPr>
          <w:rFonts w:ascii="Times New Roman;Times;Serif" w:hAnsi="Times New Roman;Times;Serif"/>
          <w:b w:val="false"/>
          <w:i w:val="false"/>
          <w:caps w:val="false"/>
          <w:smallCaps w:val="false"/>
          <w:sz w:val="20"/>
        </w:rPr>
        <w:t>) and shall be deemed to be a part thereof and any prospectus supplements or amendments thereto, from the date on which this current report is furnished to the SEC,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95"/>
        <w:gridCol w:w="60"/>
        <w:gridCol w:w="324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both"/>
              <w:rPr/>
            </w:pPr>
            <w:hyperlink w:anchor="ea030577501ex99-1.htm">
              <w:r>
                <w:rPr>
                  <w:rStyle w:val="InternetLink"/>
                  <w:rFonts w:ascii="Times New Roman;Times;Serif" w:hAnsi="Times New Roman;Times;Serif"/>
                  <w:sz w:val="20"/>
                </w:rPr>
                <w:t>Press release dated September 17,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2240"/>
        <w:gridCol w:w="638"/>
        <w:gridCol w:w="1646"/>
      </w:tblGrid>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September 17, 2026</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GCL Global Holdings Ltd.</w:t>
            </w:r>
          </w:p>
        </w:tc>
      </w:tr>
      <w:tr>
        <w:trPr/>
        <w:tc>
          <w:tcPr>
            <w:tcW w:w="224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646"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Sebastian Toke</w:t>
            </w:r>
          </w:p>
        </w:tc>
      </w:tr>
      <w:tr>
        <w:trPr/>
        <w:tc>
          <w:tcPr>
            <w:tcW w:w="224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r>
      <w:tr>
        <w:trPr/>
        <w:tc>
          <w:tcPr>
            <w:tcW w:w="2240"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CEO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77501ex99-1.htm"/>
      <w:bookmarkStart w:id="3" w:name="ksea030577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Announces Transfer of Listing to The Nasdaq Capital Market and Additional 180 Days to Cure Minimum Bid Price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 September 17,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trike w:val="false"/>
          <w:dstrike w:val="false"/>
          <w:sz w:val="20"/>
          <w:u w:val="none"/>
          <w:effect w:val="none"/>
        </w:rPr>
        <w:t>GCL Global Holdings Ltd</w:t>
      </w:r>
      <w:r>
        <w:rPr>
          <w:rFonts w:ascii="Times New Roman;Times;Serif" w:hAnsi="Times New Roman;Times;Serif"/>
          <w:b w:val="false"/>
          <w:i w:val="false"/>
          <w:caps w:val="false"/>
          <w:smallCaps w:val="false"/>
          <w:sz w:val="20"/>
        </w:rPr>
        <w:t xml:space="preserve"> (Nasdaq: GCL) (“GCL” or the “Company”), a leading provider of games and entertainment, today announced that the listing of its ordinary shares will be transferred to The Nasdaq Capital Market at the opening of business on September 18, 2026. The Company’s ordinary shares will continue to trade under the ticker symbol “GCL,” and its warrants will continue to trade on The Nasdaq Capital Market under the ticker symbol “GCLWW.”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follows a deficiency notice dated March 17, 2026 the Company received regarding the minimum bid price requirement under Nasdaq Listing Rule 5450(a)(1) (the “Minimum Bid Price Rule”). On September 16, 2026, the Company received written notification from Nasdaq advising the Company that it had been granted an additional 180 calendar days, or until March 15, 2027, to comply with the Minimum Bid Price Rule in connection with its application to transfer its listing to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has no effect on the Company’s day-to-day business operations, financial condition, or reporting obligations under U.S. securities laws. The Company’s ordinary shares and warrants will continue to trade on Nasdaq without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 are forward-looking statements, which are often indicated by terms such as “may,” “will,” “should,” “expect,” “plan,” “anticipate,” “could,” “intend,” “target,” “project,” “estimate,” “believe,” “predict,” “potential” or “continue,” among others, statements regarding our compliance with the Minimum Bid Price Rule and listing or trading of our ordinary shares. Forward-looking statements appear in a number of places throughout this press release and may include statements regarding our intentions, beliefs, projections, outlook, analyses, current expectations and the risks, uncertainties and other factors described under the headings, “Risk factors” and “Cautionary statement regarding forward looking statements,” in our periodic filings with the U.S. Securities and Exchange Commission. These statements speak only as of the date of this press release and involve known and unknown risks, uncertainties and other important factors that may cause our actual results, performance or achievements to be materially different from any future results, performance or achievements expressed or implied by the forward-looking statements.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crocker.coulson@aumadvisors.com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652-7185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02045/000121390026055791/ea0289392-posam1_gclglob.htm" TargetMode="External"/><Relationship Id="rId3" Type="http://schemas.openxmlformats.org/officeDocument/2006/relationships/hyperlink" Target="http://www.sec.gov/Archives/edgar/data/2002045/000121390026065800/ea0291968-posam1_gclglob.htm" TargetMode="External"/><Relationship Id="rId4" Type="http://schemas.openxmlformats.org/officeDocument/2006/relationships/hyperlink" Target="https://www.sec.gov/Archives/edgar/data/2002045/000121390026096706/ea0303267-f3_gclglobal.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1317</Words>
  <Characters>7318</Characters>
  <CharactersWithSpaces>8645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