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 No. 333-290032</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625,000 ORDINARY SHARES</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GCL GLOBAL HOLDINGS LTD</w:t>
      </w:r>
    </w:p>
    <w:p>
      <w:pPr>
        <w:spacing w:after="0" w:line="229"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prospectus relates to the resale from time to time of up to 625,000 ordinary shares (the “Shares”) of GCL Global Holdings Ltd, a Cayman Islands exempted company (the “Company,” “PubCo,” or “we”) by Teng Woo Boon, the Managing Director of Ban Leong Technologies Pte. Ltd. (“Teng” or the “Selling Shareholder”), an indirect wholly-owned subsidiary of the Company.</w:t>
      </w:r>
    </w:p>
    <w:p>
      <w:pPr>
        <w:spacing w:after="0" w:line="176"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not selling any securities under this prospectus and will not receive any proceeds from the sale of the Shares by the Selling Shareholder. The Selling Shareholder may sell the Shares from time to time in public or private transactions, at fixed or negotiated prices. See “Plan of Distribution.”</w:t>
      </w:r>
    </w:p>
    <w:p>
      <w:pPr>
        <w:spacing w:after="0" w:line="162"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bear all reasonable costs, expenses, and fees in connection with the registration of the Shares.</w:t>
      </w:r>
    </w:p>
    <w:p>
      <w:pPr>
        <w:spacing w:after="0" w:line="225" w:lineRule="exact"/>
        <w:rPr>
          <w:sz w:val="24"/>
          <w:szCs w:val="24"/>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registration of the securities covered by this prospectus does not mean that the Selling Shareholder will offer or sell, as applicable, any of the securities. The Selling Shareholder may offer, sell or distribute all or part of the securities registered hereby for resale from time to time through public or private transactions at either prevailing market prices or at privately negotiated prices. The securities are being registered to permit the Selling Shareholder to sell the securities from time to time, in amounts, at prices and on terms determined at the time the Selling Shareholder offer and sell the securities covered by this prospectus. The Selling Shareholder may offer and sell the securities covered by this prospectus through ordinary brokerage transactions, directly to market makers of our securities or through any other means described in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herein. In connection with any sales of the securities offered hereunder, the Selling Shareholder, any underwriters, agents, brokers or dealers participating in such sales may be deemed to be “underwriters” within the meaning of the Securities Act of 1933, as amended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ind w:left="340"/>
        <w:spacing w:after="0"/>
        <w:rPr>
          <w:sz w:val="20"/>
          <w:szCs w:val="20"/>
          <w:color w:val="auto"/>
        </w:rPr>
      </w:pPr>
      <w:r>
        <w:rPr>
          <w:rFonts w:ascii="Times New Roman" w:cs="Times New Roman" w:eastAsia="Times New Roman" w:hAnsi="Times New Roman"/>
          <w:sz w:val="18"/>
          <w:szCs w:val="18"/>
          <w:color w:val="auto"/>
        </w:rPr>
        <w:t>As of June 9, 2026, the closing price of our Ordinary Shares and Warrants was $0.42 and $0.03, respectively.</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total number of Ordinary Shares issued and outstanding as of the date of this prospectus are 130,135,432 Ordinary Shares and 128,008,703 Ordinary Shares, respectively. Each Ordinary Share is entitled to one vote. As of the date of this prospectus, Jacky Choo See Wee, our chairman of the board of directors, is able to exercise voting rights with respect to over 50% of the voting power of our issued and outstanding shares through his beneficial ownership of 80,581,793 Ordinary Shares. We are a “controlled company” as defined under the Corporate Governance Rules of Nasdaq. For so long as we remain a controlled company under this definition, we are permitted to elect to rely, and currently rely, on certain exemptions from corporate governance rules, including the exemption from the rule that a majority of our board of directors must be independent directors. For details, see “Item 3. Key Information—D. Risk Factors—Risks Related to GCL Operating as a Public Company—As a “controlled company” under the Nasdaq rules, GCL may choose to exempt itself from certain corporate governance requirements that could have an adverse effect on our public shareholders” in our most recent annual report on Form 20-F, as amended, incorporated herein by reference.</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may amend or supplement this prospectus from time to time by filing amendments or supplements as required. You should read this entire prospectus and any amendments or supplements carefully before you make your investment decision.</w:t>
      </w:r>
    </w:p>
    <w:p>
      <w:pPr>
        <w:spacing w:after="0" w:line="158"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We are an “emerging growth company” as defined in the Jumpstart Our Business Startups Act of 2012 and have elected to comply with certain reduced public company reporting requirements.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also a “foreign private issuer,” as defined in the Securities and Exchange Act of 1934, as amended (the “Exchange Act”), and will be exempt from certain rules under the Exchange Act that impose certain disclosure obligations and procedural requirements for proxy solicitations under Section 14 of the Exchange Act. In addition, our officers, directors and principal shareholders will be exempt from the “short swing” profit recovery provisions under Section 16 of the Exchange Act. Moreover, we will not be required to file periodic reports and financial statements with the U.S. Securities and Exchange Commission as frequently or as promptly as U.S. companies whose securities are registered under the Exchange Act.</w:t>
      </w:r>
    </w:p>
    <w:p>
      <w:pPr>
        <w:spacing w:after="0" w:line="179"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is speculative and involves a high degree of risk. You should carefully consider the risks described under “Risk Factors,” in any accompanying prospectus supplement or in the documents incorporated by reference into this prospectus before making a decision to invest in our securities.</w:t>
      </w:r>
    </w:p>
    <w:p>
      <w:pPr>
        <w:spacing w:after="0" w:line="17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 securities to be issued under this prospectus or determined if this prospectus is truthful or complete. Any representation to the contrary is a criminal offense.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June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3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r>
      <w:tr>
        <w:trPr>
          <w:trHeight w:val="439"/>
        </w:trPr>
        <w:tc>
          <w:tcPr>
            <w:tcW w:w="78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444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224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000" w:type="dxa"/>
            <w:vAlign w:val="bottom"/>
            <w:tcBorders>
              <w:bottom w:val="single" w:sz="8" w:color="CCEEFF"/>
            </w:tcBorders>
            <w:gridSpan w:val="10"/>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176"/>
        </w:trPr>
        <w:tc>
          <w:tcPr>
            <w:tcW w:w="1024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INDUSTRY AND MARKET DATA</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2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FREQUENTLY USED TERMS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iv</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4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v</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SUMMARY OF THE PROSPECTUS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5"/>
        </w:trPr>
        <w:tc>
          <w:tcPr>
            <w:tcW w:w="2760" w:type="dxa"/>
            <w:vAlign w:val="bottom"/>
            <w:tcBorders>
              <w:top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7480" w:type="dxa"/>
            <w:vAlign w:val="bottom"/>
            <w:tcBorders>
              <w:top w:val="single" w:sz="8" w:color="CCEEFF"/>
            </w:tcBorders>
            <w:gridSpan w:val="6"/>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980" w:type="dxa"/>
            <w:vAlign w:val="bottom"/>
            <w:tcBorders>
              <w:bottom w:val="single" w:sz="8" w:color="CCEEFF"/>
            </w:tcBorders>
            <w:gridSpan w:val="1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6"/>
        </w:trPr>
        <w:tc>
          <w:tcPr>
            <w:tcW w:w="1024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MATERIAL U.S. FEDERAL INCOME TAX CONSIDERATIONS</w:t>
            </w:r>
          </w:p>
        </w:tc>
        <w:tc>
          <w:tcPr>
            <w:tcW w:w="5360" w:type="dxa"/>
            <w:vAlign w:val="bottom"/>
            <w:tcBorders>
              <w:bottom w:val="single" w:sz="8" w:color="CCEEFF"/>
            </w:tcBorders>
            <w:gridSpan w:val="3"/>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5"/>
        </w:trPr>
        <w:tc>
          <w:tcPr>
            <w:tcW w:w="1024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SECURITYHOLDERS</w:t>
            </w:r>
          </w:p>
        </w:tc>
        <w:tc>
          <w:tcPr>
            <w:tcW w:w="7720" w:type="dxa"/>
            <w:vAlign w:val="bottom"/>
            <w:tcBorders>
              <w:bottom w:val="single" w:sz="8" w:color="CCEEFF"/>
            </w:tcBorders>
            <w:gridSpan w:val="8"/>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175"/>
        </w:trPr>
        <w:tc>
          <w:tcPr>
            <w:tcW w:w="1024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48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EXPENSES RELATING TO THIS OFFERING</w:t>
            </w:r>
          </w:p>
        </w:tc>
        <w:tc>
          <w:tcPr>
            <w:tcW w:w="6760" w:type="dxa"/>
            <w:vAlign w:val="bottom"/>
            <w:tcBorders>
              <w:bottom w:val="single" w:sz="8" w:color="CCEEFF"/>
            </w:tcBorders>
            <w:gridSpan w:val="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176"/>
        </w:trPr>
        <w:tc>
          <w:tcPr>
            <w:tcW w:w="1024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460" w:type="dxa"/>
            <w:vAlign w:val="bottom"/>
            <w:tcBorders>
              <w:bottom w:val="single" w:sz="8" w:color="CCEEFF"/>
            </w:tcBorders>
            <w:gridSpan w:val="16"/>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175"/>
        </w:trPr>
        <w:tc>
          <w:tcPr>
            <w:tcW w:w="1024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prospectus or any amendment or supplement. Neither we nor the Selling Shareholder have authorized anyone else to provide you with different information. The securities offered by this prospectus are being offered only in jurisdictions where the offer is permitted. You should not assume that the information in this prospectus or any amendment or supplement is accurate as of any date other than the date on the front of each document. Our business, financial condition, results of operations and prospects may have changed since that date.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Except as otherwise set forth in this prospectus, neither we nor the Selling Shareholder have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filed with the SEC by GCL Global Holdings Ltd. using the “shelf” registration process. Under this shelf registration process, the Selling Shareholder named in this prospectus may, from time to time, sell the securities described in this prospectus in one or more offerings. This prospectus includes important information about us, the securities being offered by the Selling Shareholder and other information you should know before investing. We may provide a prospectus supplement or post-effective amendment to the registration statement to add information to, or update or change information contained in, this prospectus. If there is any inconsistency between the information contained in this prospectus and any prospectus supplement or post-effective amendment, you should rely on the information contained in that particular prospectus supplement or post-effective amendment. You should read this prospectus together with the additional information about us described in the section below entitled “</w:t>
      </w:r>
      <w:r>
        <w:rPr>
          <w:rFonts w:ascii="Times New Roman" w:cs="Times New Roman" w:eastAsia="Times New Roman" w:hAnsi="Times New Roman"/>
          <w:sz w:val="18"/>
          <w:szCs w:val="18"/>
          <w:i w:val="1"/>
          <w:iCs w:val="1"/>
          <w:color w:val="auto"/>
        </w:rPr>
        <w:t>Where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Documents by Reference</w:t>
      </w:r>
      <w:r>
        <w:rPr>
          <w:rFonts w:ascii="Times New Roman" w:cs="Times New Roman" w:eastAsia="Times New Roman" w:hAnsi="Times New Roman"/>
          <w:sz w:val="18"/>
          <w:szCs w:val="18"/>
          <w:color w:val="auto"/>
        </w:rPr>
        <w:t>.” You should rely only on information contained in this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prospectus supplement and any related free writing prospectus. We have not, and the Selling Shareholder has not, authorized anyone to provide you with information different from that contained in this prospectus, any prospectus supplement and any related free writing prospectus. The information contained in this prospectus is accurate only as of the date on the front cover of the prospectus. You should not assume that the information contained in this prospectus is accurate as of any other date.</w:t>
      </w:r>
    </w:p>
    <w:p>
      <w:pPr>
        <w:spacing w:after="0" w:line="1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Selling Shareholder may offer and sell the securities directly to purchasers, through agents selected by the Selling Shareholder, or to or through underwriters or dealers. A prospectus supplement, if required, may describe the terms of the plan of distribution and set forth the names of any agents, underwriters or dealers involved in the sale of securities.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investors outside the United States: Neither we nor the Selling Shareholder have taken any action to permit the possession or distribution of this prospectus in any jurisdiction other than the United States where action for that purpose is required. Persons outside the United States who come into possession of this prospectus must inform themselves about and observe any restrictions relating to the Ordinary Shares and Warrants and the distribution of this prospectus outside the United States.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Discrepancies in any table between totals and sums of the amounts listed are due to rounding. Certain amounts and percentages have been rounded; consequently, certain figures may add up to be more or less than the total amount and certain percentages may add up to be more or less than 100% due to rounding. In particular and without limitation, amounts expressed in millions contained in this prospectus have been rounded to a single decimal place for the convenience of readers.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prospectus contains estimates and other information concerning our industry, including market size and growth of the market in which we participate, that are derived from various public sources. This information involves a number of assumptions and limitations, and you are cautioned not to give undue weight to these estimates.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Industry publications, research, studies and forecasts generally state that the information they contain has been obtained from sources believed to be reliable, but that the accuracy and completeness of such information is not guaranteed. In some cases, we do not expressly refer to the sources from which these estimates and information are derived. While we have compiled, extracted, and reproduced industry data from these sources, we have not independently verified the data. Forecasts and other forward-looking information obtained from these sources are subject to the same qualifications and uncertainties as the other forward-looking statements in this prospectus. These forecasts and forward-looking information are subject to uncertainty and risk due to a variety of factors, including those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Factors” in our then most recent annual report on Form 20-F, and any updates to those risk factors in our reports on Form 6-K incorporated by reference in this prospectus, together with all of the other information appearing or incorporated by reference in this prospectus. These and other factors could cause results to differ materially from those expressed in any forecasts or estimates.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this prospectus, unless the context otherwise requires, the “GCL,” “GCL Group,” “Company” and references to “we,” “us,” or similar such references should be understood to be references to GCL Global Holdings Ltd and its subsidiaries and consolidated affiliated entities (“Group Subsidiaries,” each a “Group Subsidiary”).</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this prospectus, unless otherwise stated, references to:</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“USD,” “US$” and “U.S. dollar” each refers to the United States dollar.</w:t>
      </w:r>
    </w:p>
    <w:p>
      <w:pPr>
        <w:spacing w:after="0" w:line="15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“Amended and Restated Memorandum and Articles of Association” means the Company’s current amended and restated memorandum and articles of association, adopted on February 13, 2025.</w:t>
      </w:r>
    </w:p>
    <w:p>
      <w:pPr>
        <w:spacing w:after="0" w:line="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“Ancillary Agreements” means certain additional agreements entered into or to be entered into pursuant to or in connection with the Merger Agreement.</w:t>
      </w:r>
    </w:p>
    <w:p>
      <w:pPr>
        <w:spacing w:after="0" w:line="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“April 2026 Warrant” means the three-year warrant the Company issued to an institutional investor on April 28, 2026 for 1,125,000 shares at an initial exercise price of $8.00 per share, subject to full-ratchet anti-dilution adjustments and other price protections, in exchange for a portion of the then-outstanding convertible notes issued pursuant to an Amendment, Waiver and Exchange Agreement dated April 28, 2026.</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“Ban Leong” means Ban Leong Technologies Pte. Ltd. (formerly known as “Ban Leong Technologies Limited” prior to its delisting from the Singapore Stock Exchange on August 26, 2025), a Singapore company.</w:t>
      </w:r>
    </w:p>
    <w:p>
      <w:pPr>
        <w:spacing w:after="0" w:line="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“Business Combination,” “Transactions,” or “Merger” means, collectively, the transactions contemplated by the Merger Agreement and the Ancillary Agreements.</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“Closing” means the closing of the Transactions.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“Closing Date” means February 13, 2025.</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“Code” means the Internal Revenue Code of 1986, as amended.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“Companies Act” means the Companies Act (As Revised) of the Cayman Islands as the same may be amended from time to time.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“Exchange Act” means the Securities Exchange Act of 1934, as amended.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“GCL BVI” means Grand Centrex Limited, a British Virgin Islands business company.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“GCL Global” means GCL Global Limited, a Cayman Islands exempted company limited by shares.</w:t>
      </w:r>
    </w:p>
    <w:p>
      <w:pPr>
        <w:spacing w:after="0" w:line="15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“Merger Agreement” means the Merger Agreement, dated as of October 18, 2023 (as amended on December 1, 2023, December 15, 2023, January 31, 2024, and September 30, 2024) by and among (i) the Company, (ii) RF Acquisition Corp., a Delaware corporation (“RFAC”), (iii) Grand Centrex Limited, a British Virgin Islands business company (“GCL BVI”), (iv) GCL Global Limited, a Cayman Islands exempted company limited by shares (“GCL Global”), and, (v) for the limited purposes set forth therein, RF Dynamic LLC, a Delaware limited liability company (the “Sponsor”).</w:t>
      </w:r>
    </w:p>
    <w:p>
      <w:pPr>
        <w:spacing w:after="0" w:line="1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“Nasdaq” means The Nasdaq Stock Market LLC.</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“Ordinary Shares” means, collectively, the ordinary shares of the Company, each with par value $0.0001 per share.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“RFAC” means RF Acquisition Corp., a Delaware corporation.</w:t>
      </w:r>
    </w:p>
    <w:p>
      <w:pPr>
        <w:spacing w:after="0" w:line="15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“Registration Rights Agreement” means the registration rights agreement, dated May 21, 2025, by and among the Company and the buyer named therein.</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“Sarbanes-Oxley Act” means the Sarbanes-Oxley Act of 2002, as may be amended.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 and “SGD” refer to Singapore dollars.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“SEC” means the U.S. Securities and Exchange Commission.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“Sponsor” means RF Dynamic LLC, a Delaware limited liability company.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“U.S.” means the United States of America.</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“U.S. GAAP” or “GAAP” means generally accepted accounting principles in the United States of America.</w:t>
      </w:r>
    </w:p>
    <w:p>
      <w:pPr>
        <w:spacing w:after="0" w:line="15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“Warrants” or “PubCo Warrants” means warrants of the Company (including Public Warrants and Private Placement Warrants), each exercisable for one Ordinary Share at an exercise price of $11.50 per share, subject to adjustment.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prospectus contains “forward-looking statements” within the meaning of Section 27A of the Securities Act and Section 21E of the Exchange Act that involve substantial risks and uncertainties. All statements other than statements of historical facts contained in this prospectus, including statements regarding our future financial position, business strategy and plans and objectives of management for future operations, are forward-looking statements. In some cases, you can identify forward-looking statements by terminology such as “may,” “will,” “should,” “expect,” “plan,” “anticipate,” “could,” “intend,” “target,” “project,” “contemplate,” “believe,” “estimate,” “predict,” “potential” or “continue” or the negative of these terms or other similar expressions. Forward-looking statements include, without limitation, our expectations concerning the outlook for our business, productivity, plans and goals for future operational improvements and capital investments, operational performance, future market conditions or economic performance and developments in the capital and credit markets and expected future financial performance, as well as any information concerning our possible or assumed future results of operations as set forth in this prospectus. Forward-looking statements also include statements regarding the expected benefits of the Business Combination.</w:t>
      </w:r>
    </w:p>
    <w:p>
      <w:pPr>
        <w:spacing w:after="0" w:line="9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Forward-looking statements involve a number of risks, uncertainties and assumptions, and actual results or events may differ materially from those projected or implied in those statements. Important factors that could cause such differences include, but are not limited to:</w:t>
      </w:r>
    </w:p>
    <w:p>
      <w:pPr>
        <w:spacing w:after="0" w:line="94" w:lineRule="exact"/>
        <w:rPr>
          <w:sz w:val="20"/>
          <w:szCs w:val="20"/>
          <w:color w:val="auto"/>
        </w:rPr>
      </w:pPr>
    </w:p>
    <w:p>
      <w:pPr>
        <w:ind w:left="740" w:hanging="354"/>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from the acquisition of Ban Leong;</w:t>
      </w:r>
    </w:p>
    <w:p>
      <w:pPr>
        <w:spacing w:after="0" w:line="198"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successfully integrate Ban Leong into GCL Group and achieve economies of scale and operational efficiencies;</w:t>
      </w:r>
    </w:p>
    <w:p>
      <w:pPr>
        <w:spacing w:after="0" w:line="198" w:lineRule="exact"/>
        <w:rPr>
          <w:rFonts w:ascii="Times New Roman" w:cs="Times New Roman" w:eastAsia="Times New Roman" w:hAnsi="Times New Roman"/>
          <w:sz w:val="18"/>
          <w:szCs w:val="18"/>
          <w:color w:val="auto"/>
        </w:rPr>
      </w:pPr>
    </w:p>
    <w:p>
      <w:pPr>
        <w:jc w:val="both"/>
        <w:ind w:left="740" w:right="20" w:hanging="354"/>
        <w:spacing w:after="0" w:line="261" w:lineRule="auto"/>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our strategies and future financial performance, including our future business plans or objectives, prospective performance and opportunities and competitors, revenues, customer acquisition and retention, products and services, pricing, marketing plans, operating expenses, market trends and acceptance, liquidity, cash flows and uses of cash, capital expenditures, and our ability to invest in growth initiatives and pursue acquisition opportunities;</w:t>
      </w:r>
    </w:p>
    <w:p>
      <w:pPr>
        <w:spacing w:after="0" w:line="152"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execute our growth strategy and diversify revenue streams;</w:t>
      </w:r>
    </w:p>
    <w:p>
      <w:pPr>
        <w:spacing w:after="0" w:line="198"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expand our operations and geographic reach;</w:t>
      </w:r>
    </w:p>
    <w:p>
      <w:pPr>
        <w:spacing w:after="0" w:line="198"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execute our growth strategy, manage growth and maintain our corporate culture as we grow;</w:t>
      </w:r>
    </w:p>
    <w:p>
      <w:pPr>
        <w:spacing w:after="0" w:line="198"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environment and changes in laws, regulations or policies in the jurisdictions in which we operate;</w:t>
      </w:r>
    </w:p>
    <w:p>
      <w:pPr>
        <w:spacing w:after="0" w:line="198"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in the jurisdictions in which we operate;</w:t>
      </w:r>
    </w:p>
    <w:p>
      <w:pPr>
        <w:spacing w:after="0" w:line="198"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and interest rate fluctuations;</w:t>
      </w:r>
    </w:p>
    <w:p>
      <w:pPr>
        <w:spacing w:after="0" w:line="198"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technology trends and developments and our ability to address those trends and developments with our offerings;</w:t>
      </w:r>
    </w:p>
    <w:p>
      <w:pPr>
        <w:spacing w:after="0" w:line="198"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personnel and the inability to replace such personnel on a timely basis or on acceptable terms;</w:t>
      </w:r>
    </w:p>
    <w:p>
      <w:pPr>
        <w:spacing w:after="0" w:line="198"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of our capital needs and our ability to raise financing;</w:t>
      </w:r>
    </w:p>
    <w:p>
      <w:pPr>
        <w:spacing w:after="0" w:line="198"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our securities on Nasdaq;</w:t>
      </w:r>
    </w:p>
    <w:p>
      <w:pPr>
        <w:spacing w:after="0" w:line="198"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utilize the “controlled company” exemption under the rules of Nasdaq;</w:t>
      </w:r>
    </w:p>
    <w:p>
      <w:pPr>
        <w:spacing w:after="0" w:line="279" w:lineRule="exact"/>
        <w:rPr>
          <w:rFonts w:ascii="Times New Roman" w:cs="Times New Roman" w:eastAsia="Times New Roman" w:hAnsi="Times New Roman"/>
          <w:sz w:val="18"/>
          <w:szCs w:val="18"/>
          <w:color w:val="auto"/>
        </w:rPr>
      </w:pPr>
    </w:p>
    <w:p>
      <w:pPr>
        <w:ind w:left="740" w:right="20" w:hanging="354"/>
        <w:spacing w:after="0" w:line="282" w:lineRule="auto"/>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regulatory enforcement risks, including the diversion of management time and attention and the additional costs and demands on our resources; and</w:t>
      </w:r>
    </w:p>
    <w:p>
      <w:pPr>
        <w:spacing w:after="0" w:line="213" w:lineRule="exact"/>
        <w:rPr>
          <w:rFonts w:ascii="Times New Roman" w:cs="Times New Roman" w:eastAsia="Times New Roman" w:hAnsi="Times New Roman"/>
          <w:sz w:val="18"/>
          <w:szCs w:val="18"/>
          <w:color w:val="auto"/>
        </w:rPr>
      </w:pPr>
    </w:p>
    <w:p>
      <w:pPr>
        <w:ind w:left="740" w:right="40" w:hanging="354"/>
        <w:spacing w:after="0" w:line="284" w:lineRule="auto"/>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matters described under “</w:t>
      </w:r>
      <w:r>
        <w:rPr>
          <w:rFonts w:ascii="Times New Roman" w:cs="Times New Roman" w:eastAsia="Times New Roman" w:hAnsi="Times New Roman"/>
          <w:sz w:val="18"/>
          <w:szCs w:val="18"/>
          <w:i w:val="1"/>
          <w:iCs w:val="1"/>
          <w:color w:val="auto"/>
        </w:rPr>
        <w:t>Item 3. Key Information—D. Risk Factors</w:t>
      </w:r>
      <w:r>
        <w:rPr>
          <w:rFonts w:ascii="Times New Roman" w:cs="Times New Roman" w:eastAsia="Times New Roman" w:hAnsi="Times New Roman"/>
          <w:sz w:val="18"/>
          <w:szCs w:val="18"/>
          <w:color w:val="auto"/>
        </w:rPr>
        <w:t>” in our most recent annual report on Form 20-F, as amended, incorporated herein by reference.</w:t>
      </w:r>
    </w:p>
    <w:p>
      <w:pPr>
        <w:spacing w:after="0" w:line="9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caution you against placing undue reliance on forward-looking statements, which reflect current beliefs and are based on information currently available to us as of the date a forward-looking statement is made. Forward-looking statements set forth herein speak only as of the date of this prospectus. We do not undertake any obligation to revise forward-looking statements to reflect future events, changes in circumstances, or changes in beliefs. In the event that any forward-looking statement is updated, no inference should be made that we will make additional updates with respect to that statement, related matters, or any other forward-looking statements. Any corrections or revisions and other important assumptions and factors that could cause actual results to differ materially from forward-looking statements, including discussions of significant risk factors, may appear, in our public filings with the SEC, which are accessible at www.sec.gov, and which you are advised to consult.</w:t>
      </w:r>
    </w:p>
    <w:p>
      <w:pPr>
        <w:spacing w:after="0" w:line="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Market, ranking and industry data used throughout this prospectus, including statements regarding market size, is based on independent industry surveys and publications. These data involve a number of assumptions and limitations, and you are cautioned not to give undue weight to such estimates. While we are not aware of any misstatements regarding the industry data presented herein, such estimates involve risks and uncertainties and are subject to change based on various factors, including those discussed under the headings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in our then-most recent annual report on Form 20-F, as amended, and any updates to those risk factors in our reports on Form 6-K incorporated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in this prospectus, together with all of the other information appearing or incorporated by reference in this prospectus.</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45020" cy="6613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5020" cy="6613525"/>
                    </a:xfrm>
                    <a:prstGeom prst="rect">
                      <a:avLst/>
                    </a:prstGeom>
                    <a:noFill/>
                  </pic:spPr>
                </pic:pic>
              </a:graphicData>
            </a:graphic>
          </wp:anchor>
        </w:drawing>
        <w:t>SUMMARY OF THE PROSPECTUS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this offering and selected information contained elsewhere in this prospectus. This summary is not complete and does not contain all of the information that you should consider before deciding whether to invest in the securities covered by this prospectus. You should read the following summary together with the more detailed information in this prospectus, any related prospectus supplement and any related free writing prospectus, including the information set forth in the section titled “Risk Factors” in this prospectus, any related prospectus supplement and any related free writing prospectus in their entirety before making an investment decision.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GCL Global Holdings Ltd, together with the Group Subsidiaries (“</w:t>
      </w:r>
      <w:r>
        <w:rPr>
          <w:rFonts w:ascii="Times New Roman" w:cs="Times New Roman" w:eastAsia="Times New Roman" w:hAnsi="Times New Roman"/>
          <w:sz w:val="18"/>
          <w:szCs w:val="18"/>
          <w:b w:val="1"/>
          <w:bCs w:val="1"/>
          <w:i w:val="1"/>
          <w:iCs w:val="1"/>
          <w:color w:val="auto"/>
        </w:rPr>
        <w:t>GCL Group</w:t>
      </w:r>
      <w:r>
        <w:rPr>
          <w:rFonts w:ascii="Times New Roman" w:cs="Times New Roman" w:eastAsia="Times New Roman" w:hAnsi="Times New Roman"/>
          <w:sz w:val="18"/>
          <w:szCs w:val="18"/>
          <w:color w:val="auto"/>
        </w:rPr>
        <w:t>”), is a developer, distributor, marketer, and publisher of video games and other entertainment content throughout Asia, Europe, the U.S. and Latin America. It sells and distributes to retailers and consumers in Asia physical and digital copies of video games through physical retailers, such as Sony PlayStation stores in Japan, and online channels in Singapore, Hong Kong, Malaysia, Japan, South Korea, Taiwan, Thailand, Indonesia, the Philippines and other Asian countries. Over 46.3%, 86.8% , and 93.3%, of our total consolidated revenue for the six months ended September 30, 2025, and for the years ended March 31, 2025 and 2024, respectively, was derived from the sale of either games on consoles such as Sony PlayStation, Microsoft Xbox, Nintendo Switch and personal computer (“</w:t>
      </w:r>
      <w:r>
        <w:rPr>
          <w:rFonts w:ascii="Times New Roman" w:cs="Times New Roman" w:eastAsia="Times New Roman" w:hAnsi="Times New Roman"/>
          <w:sz w:val="18"/>
          <w:szCs w:val="18"/>
          <w:b w:val="1"/>
          <w:bCs w:val="1"/>
          <w:i w:val="1"/>
          <w:iCs w:val="1"/>
          <w:color w:val="auto"/>
        </w:rPr>
        <w:t>PC</w:t>
      </w:r>
      <w:r>
        <w:rPr>
          <w:rFonts w:ascii="Times New Roman" w:cs="Times New Roman" w:eastAsia="Times New Roman" w:hAnsi="Times New Roman"/>
          <w:sz w:val="18"/>
          <w:szCs w:val="18"/>
          <w:color w:val="auto"/>
        </w:rPr>
        <w:t>”) to retailers, or game activation keys (the so-called “game codes”) via electronic delivery to retailers or end-users through email or download.</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its own creative media design team with studio facilities to produce marketing and promotional materials adapted to local markets and develop original content as part of its content creation or marketing business. Partnering with international video game publishers and developers, the Company has an established track record of selling and marketing top-tier video game franchises such as </w:t>
      </w:r>
      <w:r>
        <w:rPr>
          <w:rFonts w:ascii="Times New Roman" w:cs="Times New Roman" w:eastAsia="Times New Roman" w:hAnsi="Times New Roman"/>
          <w:sz w:val="18"/>
          <w:szCs w:val="18"/>
          <w:i w:val="1"/>
          <w:iCs w:val="1"/>
          <w:color w:val="auto"/>
        </w:rPr>
        <w:t>Grand Theft Auto, Red Dead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Redemption, Sonic the Hedgehog, Cyberpunk 2077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Black Myth: Wukong.</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GCL Group leverages its diverse portfolio of digital and physical content to bridge cultures and audiences by introducing Asian-developed IP to a global audience across consoles and PCs. 4Divinity was formed in 2022 as a Group Subsidiary dedicated to games publishing and game development. GCL Group has either published or co-published more than twelve game titles. The Company also has its own production studio and advertising agency, providing media and content advertising services for small and medium-sized enterprises (the “</w:t>
      </w:r>
      <w:r>
        <w:rPr>
          <w:rFonts w:ascii="Times New Roman" w:cs="Times New Roman" w:eastAsia="Times New Roman" w:hAnsi="Times New Roman"/>
          <w:sz w:val="18"/>
          <w:szCs w:val="18"/>
          <w:b w:val="1"/>
          <w:bCs w:val="1"/>
          <w:i w:val="1"/>
          <w:iCs w:val="1"/>
          <w:color w:val="auto"/>
        </w:rPr>
        <w:t>SMEs</w:t>
      </w:r>
      <w:r>
        <w:rPr>
          <w:rFonts w:ascii="Times New Roman" w:cs="Times New Roman" w:eastAsia="Times New Roman" w:hAnsi="Times New Roman"/>
          <w:sz w:val="18"/>
          <w:szCs w:val="18"/>
          <w:color w:val="auto"/>
        </w:rPr>
        <w:t>”) and government agencies.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Mr. Jacky Choo See Wee, our Group Chairman and Chief Executive Officer of Epicsoft Asia and 4Divinity, has over 20 years of video games distribution and retail network management experience in Asia. Under Mr. Choo’s leadership, Epicsoft Asia has become a leading channel distributor for console games, and has forged multi-year deals with international video game publishers and studios such as Sega Corporation (“Sega”), Take-Two Interactive Software UK Limited (“Take-two”), CD Projekt S.A. (“CDPR”) and Warner Bros. Games to sell select game titles within certain territories in Asia. Together with Epicsoft Hong Kong, Epicsoft Malaysia and 2Game, Epicsoft Asia currently has one of the largest networks for video games distribution in Asia through resellers with more than 2,100 physical and online stores, and has sold more than 14.1 million of physical and digital copies of video games during the past three fiscal years. It has distributed in Asia four of the top ten best-selling video games of all time, three of which it is currently still selling. It is also responsible for bringing to Asia some award-winning all-time favorite video games, such as Hogwarts Legacy, Grand </w:t>
      </w:r>
      <w:r>
        <w:rPr>
          <w:rFonts w:ascii="Times New Roman" w:cs="Times New Roman" w:eastAsia="Times New Roman" w:hAnsi="Times New Roman"/>
          <w:sz w:val="18"/>
          <w:szCs w:val="18"/>
          <w:i w:val="1"/>
          <w:iCs w:val="1"/>
          <w:color w:val="auto"/>
        </w:rPr>
        <w:t xml:space="preserve">Theft Auto IV, Grand Theft Auto V, Red Dead Redemption II, Cyberpunk 2077, The Witcher 3: Wild Hunt, Elden Ring: Nightreign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Black Myth: Wukong</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2Game is GCL Group’s authorized digital sales platform. It operates as a business-to-business (“</w:t>
      </w:r>
      <w:r>
        <w:rPr>
          <w:rFonts w:ascii="Times New Roman" w:cs="Times New Roman" w:eastAsia="Times New Roman" w:hAnsi="Times New Roman"/>
          <w:sz w:val="18"/>
          <w:szCs w:val="18"/>
          <w:b w:val="1"/>
          <w:bCs w:val="1"/>
          <w:i w:val="1"/>
          <w:iCs w:val="1"/>
          <w:color w:val="auto"/>
        </w:rPr>
        <w:t>B2B</w:t>
      </w:r>
      <w:r>
        <w:rPr>
          <w:rFonts w:ascii="Times New Roman" w:cs="Times New Roman" w:eastAsia="Times New Roman" w:hAnsi="Times New Roman"/>
          <w:sz w:val="18"/>
          <w:szCs w:val="18"/>
          <w:color w:val="auto"/>
        </w:rPr>
        <w:t>”) and business-to-consumer (“</w:t>
      </w:r>
      <w:r>
        <w:rPr>
          <w:rFonts w:ascii="Times New Roman" w:cs="Times New Roman" w:eastAsia="Times New Roman" w:hAnsi="Times New Roman"/>
          <w:sz w:val="18"/>
          <w:szCs w:val="18"/>
          <w:b w:val="1"/>
          <w:bCs w:val="1"/>
          <w:i w:val="1"/>
          <w:iCs w:val="1"/>
          <w:color w:val="auto"/>
        </w:rPr>
        <w:t>B2C</w:t>
      </w:r>
      <w:r>
        <w:rPr>
          <w:rFonts w:ascii="Times New Roman" w:cs="Times New Roman" w:eastAsia="Times New Roman" w:hAnsi="Times New Roman"/>
          <w:sz w:val="18"/>
          <w:szCs w:val="18"/>
          <w:color w:val="auto"/>
        </w:rPr>
        <w:t>”) digital video game retailer. It sells and distributes game activation keys, the so-called “activation keys” or “game codes” to both resellers and consumers as part of GCL Group’s concerted effort to transition from physical console game compact discs to activation keys and content.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4Divinity is GCL Group’s publishing arm. Its mission is to develop game IP, invest in upcoming game titles, to publish, or co-publish with international game publishers and content development studios, to introduce new video games and entertainment properties to Asia’s fast-growing market of gamers, and to introduce original Asian-developed video games and entertainment content to the global market.</w:t>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27" w:right="439" w:bottom="1440" w:gutter="0" w:footer="0" w:header="0"/>
        </w:sectPr>
      </w:pPr>
    </w:p>
    <w:bookmarkStart w:id="8" w:name="page9"/>
    <w:bookmarkEnd w:id="8"/>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45020" cy="51301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5020" cy="5130165"/>
                    </a:xfrm>
                    <a:prstGeom prst="rect">
                      <a:avLst/>
                    </a:prstGeom>
                    <a:noFill/>
                  </pic:spPr>
                </pic:pic>
              </a:graphicData>
            </a:graphic>
          </wp:anchor>
        </w:drawing>
        <w:t>Titan Digital Media (“</w:t>
      </w:r>
      <w:r>
        <w:rPr>
          <w:rFonts w:ascii="Times New Roman" w:cs="Times New Roman" w:eastAsia="Times New Roman" w:hAnsi="Times New Roman"/>
          <w:sz w:val="18"/>
          <w:szCs w:val="18"/>
          <w:b w:val="1"/>
          <w:bCs w:val="1"/>
          <w:i w:val="1"/>
          <w:iCs w:val="1"/>
          <w:color w:val="auto"/>
        </w:rPr>
        <w:t>TDM</w:t>
      </w:r>
      <w:r>
        <w:rPr>
          <w:rFonts w:ascii="Times New Roman" w:cs="Times New Roman" w:eastAsia="Times New Roman" w:hAnsi="Times New Roman"/>
          <w:sz w:val="18"/>
          <w:szCs w:val="18"/>
          <w:color w:val="auto"/>
        </w:rPr>
        <w:t>”) is a Group Subsidiary specialized in creating customized and strategic marketing campaigns specific to a brand’s needs. With its in-house strategists, producers, designers, video production and marketing team, TDM is a full-service agency that connects a brand with its target audience to achieve campaign key performance indicators (“</w:t>
      </w:r>
      <w:r>
        <w:rPr>
          <w:rFonts w:ascii="Times New Roman" w:cs="Times New Roman" w:eastAsia="Times New Roman" w:hAnsi="Times New Roman"/>
          <w:sz w:val="18"/>
          <w:szCs w:val="18"/>
          <w:b w:val="1"/>
          <w:bCs w:val="1"/>
          <w:i w:val="1"/>
          <w:iCs w:val="1"/>
          <w:color w:val="auto"/>
        </w:rPr>
        <w:t>KPIs</w:t>
      </w:r>
      <w:r>
        <w:rPr>
          <w:rFonts w:ascii="Times New Roman" w:cs="Times New Roman" w:eastAsia="Times New Roman" w:hAnsi="Times New Roman"/>
          <w:sz w:val="18"/>
          <w:szCs w:val="18"/>
          <w:color w:val="auto"/>
        </w:rPr>
        <w:t>”) and marketing goals. It has a production studio, an advertising agency, and a multi-channel network of talent.</w:t>
      </w:r>
    </w:p>
    <w:p>
      <w:pPr>
        <w:spacing w:after="0" w:line="17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Ban Leong Technologies Pte. Ltd. (“</w:t>
      </w:r>
      <w:r>
        <w:rPr>
          <w:rFonts w:ascii="Times New Roman" w:cs="Times New Roman" w:eastAsia="Times New Roman" w:hAnsi="Times New Roman"/>
          <w:sz w:val="18"/>
          <w:szCs w:val="18"/>
          <w:b w:val="1"/>
          <w:bCs w:val="1"/>
          <w:i w:val="1"/>
          <w:iCs w:val="1"/>
          <w:color w:val="auto"/>
        </w:rPr>
        <w:t>Ban Leong</w:t>
      </w:r>
      <w:r>
        <w:rPr>
          <w:rFonts w:ascii="Times New Roman" w:cs="Times New Roman" w:eastAsia="Times New Roman" w:hAnsi="Times New Roman"/>
          <w:sz w:val="18"/>
          <w:szCs w:val="18"/>
          <w:color w:val="auto"/>
        </w:rPr>
        <w:t>”) is an indirect wholly-owned subsidiary of the Company, principally engaged in the wholesale and distribution of computer peripherals, accessories and other multimedia products, with operations across Singapore, Malaysia, and Thailand.</w:t>
      </w:r>
    </w:p>
    <w:p>
      <w:pPr>
        <w:spacing w:after="0" w:line="15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GCL Group is headquartered in Singapore, with subsidiaries in Malaysia, Hong Kong, Thailand, China, Japan, Taiwan, Brazil, the United Kingdom and the United Arab Emirates.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 of Ordinary Shares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a Subscription Agreement dated August 22, 2025 with Teng Woo Boon (“Teng”), the Managing Director of Ban Leong, an indirect wholly-owned subsidiary of the Company, the Company sold and issued to Teng 625,000 ordinary shares at $4.00 per share, above the then trading price of the ordinary shares, in a private placement.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Resale by Selling Shareholder pursuant to this prospectus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This prospectus relates to the resale from time to time of up to 625,000 ordinary shares by Teng.</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so long as the effective registration statement of which this prospectus forms a part is available for use, the Selling Shareholder can sell under this prospectus an aggregate of up to 625,000 Ordinary Shares. The sale of shares by the Selling Shareholder, or the perception in the market that the holders of a large number of our Ordinary Shares intend to sell their shares, could increase the volatility of, or result in a significant decline in, the public trading price of the Ordinary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are an exempted company incorporated in the Cayman Islands with limited liability. Our principal executive office is located at 29 Tai Seng Avenue #02-01, Natural Cool Lifestyle Hub, Singapore 534119. Our telephone number is +65 80427330. Our website is www.gclglobalholdings.com.</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SEC maintains a website at www.sec.gov which contains in electronic form each of the reports and other information that we have filed electronically with the SEC.</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agent for service of process in the United States is Cogency Global Inc., 122 East 42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Street,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10168.</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27" w:right="439" w:bottom="1440" w:gutter="0" w:footer="0" w:header="0"/>
        </w:sectPr>
      </w:pPr>
    </w:p>
    <w:bookmarkStart w:id="9" w:name="page10"/>
    <w:bookmarkEnd w:id="9"/>
    <w:p>
      <w:pPr>
        <w:ind w:left="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45020" cy="8816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5020" cy="8816340"/>
                    </a:xfrm>
                    <a:prstGeom prst="rect">
                      <a:avLst/>
                    </a:prstGeom>
                    <a:noFill/>
                  </pic:spPr>
                </pic:pic>
              </a:graphicData>
            </a:graphic>
          </wp:anchor>
        </w:drawing>
        <w:t>Our Organizational Structure</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chart illustrates the current corporate structure of 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Names of entities referred to in chart: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Term</w:t>
            </w:r>
          </w:p>
        </w:tc>
        <w:tc>
          <w:tcPr>
            <w:tcW w:w="274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Company Name</w:t>
            </w:r>
          </w:p>
        </w:tc>
        <w:tc>
          <w:tcPr>
            <w:tcW w:w="264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Term</w:t>
            </w:r>
          </w:p>
        </w:tc>
        <w:tc>
          <w:tcPr>
            <w:tcW w:w="3200" w:type="dxa"/>
            <w:vAlign w:val="bottom"/>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Company Name</w:t>
            </w: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2Game</w:t>
            </w:r>
          </w:p>
        </w:tc>
        <w:tc>
          <w:tcPr>
            <w:tcW w:w="12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2Game Digital Limited</w:t>
            </w:r>
          </w:p>
        </w:tc>
        <w:tc>
          <w:tcPr>
            <w:tcW w:w="10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Epicsoft Hong Kong</w:t>
            </w:r>
          </w:p>
        </w:tc>
        <w:tc>
          <w:tcPr>
            <w:tcW w:w="120" w:type="dxa"/>
            <w:vAlign w:val="bottom"/>
            <w:tcBorders>
              <w:top w:val="single" w:sz="8" w:color="CCEEFF"/>
            </w:tcBorders>
            <w:shd w:val="clear" w:color="auto" w:fill="CCEEFF"/>
          </w:tcPr>
          <w:p>
            <w:pPr>
              <w:spacing w:after="0"/>
              <w:rPr>
                <w:sz w:val="18"/>
                <w:szCs w:val="18"/>
                <w:color w:val="auto"/>
              </w:rPr>
            </w:pPr>
          </w:p>
        </w:tc>
        <w:tc>
          <w:tcPr>
            <w:tcW w:w="3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Epicsoft (Hong Kong) Limited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2Game Brazil</w:t>
            </w: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 Game Pro Ltda.</w:t>
            </w: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Epicsoft Malaysia</w:t>
            </w: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Epicsoft Malaysia Sdn. Bhd.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2Game Dubai</w:t>
            </w:r>
          </w:p>
        </w:tc>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2Game Digital DMCC</w:t>
            </w:r>
          </w:p>
        </w:tc>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GCL Global SG</w:t>
            </w: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GCL Global Pte. Ltd.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4Divinity</w:t>
            </w: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4Divinity Pte. Ltd.</w:t>
            </w: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GCL Taiwan</w:t>
            </w: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GCL Taiwan Co., Ltd.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4Divinity Hong Kong</w:t>
            </w:r>
          </w:p>
        </w:tc>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4Divinity HK Ltd.</w:t>
            </w:r>
          </w:p>
        </w:tc>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Hainan GCL</w:t>
            </w: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Hainan GCL Technology Co. Ltd.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4Divinity UK</w:t>
            </w: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4Divinity UK Ltd.</w:t>
            </w: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Martiangear</w:t>
            </w: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Martiangear Pte. Ltd.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4Divinity JP</w:t>
            </w:r>
          </w:p>
        </w:tc>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4Divinity Japan Ltd.</w:t>
            </w:r>
          </w:p>
        </w:tc>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Starry Jewelry</w:t>
            </w: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Starry Jewelry Pte. Ltd.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Digital Hub</w:t>
            </w: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Digital Hub Pte. Ltd.</w:t>
            </w: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Titan Digital Media</w:t>
            </w: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Titan Digital Media Pte. Ltd.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Epicsoft Asia</w:t>
            </w:r>
          </w:p>
        </w:tc>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Epicsoft Asia Pte. Ltd.</w:t>
            </w:r>
          </w:p>
        </w:tc>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443"/>
        </w:trPr>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60"/>
          </w:cols>
          <w:pgMar w:left="320" w:top="927"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45020" cy="4007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5020" cy="4007485"/>
                    </a:xfrm>
                    <a:prstGeom prst="rect">
                      <a:avLst/>
                    </a:prstGeom>
                    <a:noFill/>
                  </pic:spPr>
                </pic:pic>
              </a:graphicData>
            </a:graphic>
          </wp:anchor>
        </w:drawing>
        <w:t>THE OFFERING</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 summary below describes the principal terms of the offering. The “Description of Securities” section of this prospectus contains a more detailed description of the ordinary shares of the Company. Any investment in the securities offered hereby is speculative and involves a high degree of risk. You should carefully consider the information set forth under “Risk Factors” of this prospectus as well as those contained in our most recent annual report on Form 20-F, as amended, and any updates to those risks in our reports on Form 6-K, in each case incorporated by reference herein, together with all of the other information appearing or incorporated by reference herein.</w:t>
      </w:r>
    </w:p>
    <w:p>
      <w:pPr>
        <w:sectPr>
          <w:pgSz w:w="11900" w:h="16838" w:orient="portrait"/>
          <w:cols w:equalWidth="0" w:num="1">
            <w:col w:w="11000"/>
          </w:cols>
          <w:pgMar w:left="460" w:top="927" w:right="439" w:bottom="1440" w:gutter="0" w:footer="0" w:header="0"/>
        </w:sectPr>
      </w:pP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GCL Global Holdings Ltd</w:t>
      </w:r>
    </w:p>
    <w:p>
      <w:pPr>
        <w:spacing w:after="0" w:line="200" w:lineRule="exact"/>
        <w:rPr>
          <w:sz w:val="20"/>
          <w:szCs w:val="20"/>
          <w:color w:val="auto"/>
        </w:rPr>
      </w:pPr>
    </w:p>
    <w:p>
      <w:pPr>
        <w:sectPr>
          <w:pgSz w:w="11900" w:h="16838" w:orient="portrait"/>
          <w:cols w:equalWidth="0" w:num="2">
            <w:col w:w="2680" w:space="720"/>
            <w:col w:w="7600"/>
          </w:cols>
          <w:pgMar w:left="460" w:top="927" w:right="4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Resale of Ordinary Shares</w:t>
      </w:r>
    </w:p>
    <w:p>
      <w:pPr>
        <w:sectPr>
          <w:pgSz w:w="11900" w:h="16838" w:orient="portrait"/>
          <w:cols w:equalWidth="0" w:num="1">
            <w:col w:w="11000"/>
          </w:cols>
          <w:pgMar w:left="460" w:top="927" w:right="439" w:bottom="1440" w:gutter="0" w:footer="0" w:header="0"/>
          <w:type w:val="continuous"/>
        </w:sectPr>
      </w:pPr>
    </w:p>
    <w:p>
      <w:pPr>
        <w:spacing w:after="0" w:line="239" w:lineRule="exact"/>
        <w:rPr>
          <w:sz w:val="20"/>
          <w:szCs w:val="20"/>
          <w:color w:val="auto"/>
        </w:rPr>
      </w:pPr>
    </w:p>
    <w:p>
      <w:pPr>
        <w:ind w:left="160" w:hanging="161"/>
        <w:spacing w:after="0" w:line="267" w:lineRule="auto"/>
        <w:rPr>
          <w:sz w:val="20"/>
          <w:szCs w:val="20"/>
          <w:color w:val="auto"/>
        </w:rPr>
      </w:pPr>
      <w:r>
        <w:rPr>
          <w:rFonts w:ascii="Times New Roman" w:cs="Times New Roman" w:eastAsia="Times New Roman" w:hAnsi="Times New Roman"/>
          <w:sz w:val="18"/>
          <w:szCs w:val="18"/>
          <w:i w:val="1"/>
          <w:iCs w:val="1"/>
          <w:color w:val="auto"/>
        </w:rPr>
        <w:t>The Ordinary Shares that may be offered and sold from time to time by the Selling Shareholder</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625,000 Ordinary shares</w:t>
      </w:r>
    </w:p>
    <w:p>
      <w:pPr>
        <w:spacing w:after="0" w:line="654" w:lineRule="exact"/>
        <w:rPr>
          <w:sz w:val="20"/>
          <w:szCs w:val="20"/>
          <w:color w:val="auto"/>
        </w:rPr>
      </w:pPr>
    </w:p>
    <w:p>
      <w:pPr>
        <w:sectPr>
          <w:pgSz w:w="11900" w:h="16838" w:orient="portrait"/>
          <w:cols w:equalWidth="0" w:num="2">
            <w:col w:w="3240" w:space="160"/>
            <w:col w:w="7600"/>
          </w:cols>
          <w:pgMar w:left="460" w:top="92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i w:val="1"/>
          <w:iCs w:val="1"/>
          <w:color w:val="auto"/>
        </w:rPr>
        <w:t>Terms of the Offering</w:t>
      </w:r>
    </w:p>
    <w:p>
      <w:pPr>
        <w:spacing w:after="0" w:line="20" w:lineRule="exact"/>
        <w:rPr>
          <w:sz w:val="20"/>
          <w:szCs w:val="20"/>
          <w:color w:val="auto"/>
        </w:rPr>
      </w:pPr>
      <w:r>
        <w:rPr>
          <w:sz w:val="20"/>
          <w:szCs w:val="20"/>
          <w:color w:val="auto"/>
        </w:rPr>
        <w:br w:type="column"/>
      </w: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Selling Shareholder will determine when and how they will dispose of the securities being registered for resale by the Selling Shareholder registered under this prospectus. The securities offered by this prospectus may be offered and sold at prevailing market prices, privately negotiated prices or such other prices as the Selling Shareholder may determine. See the section 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ectPr>
          <w:pgSz w:w="11900" w:h="16838" w:orient="portrait"/>
          <w:cols w:equalWidth="0" w:num="2">
            <w:col w:w="2680" w:space="720"/>
            <w:col w:w="7600"/>
          </w:cols>
          <w:pgMar w:left="460" w:top="92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i w:val="1"/>
          <w:iCs w:val="1"/>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We will not receive any of the proceeds from the sale of the securities by the Selling Shareholder.</w:t>
      </w:r>
    </w:p>
    <w:p>
      <w:pPr>
        <w:spacing w:after="0" w:line="200" w:lineRule="exact"/>
        <w:rPr>
          <w:sz w:val="20"/>
          <w:szCs w:val="20"/>
          <w:color w:val="auto"/>
        </w:rPr>
      </w:pPr>
    </w:p>
    <w:p>
      <w:pPr>
        <w:sectPr>
          <w:pgSz w:w="11900" w:h="16838" w:orient="portrait"/>
          <w:cols w:equalWidth="0" w:num="2">
            <w:col w:w="2680" w:space="720"/>
            <w:col w:w="7600"/>
          </w:cols>
          <w:pgMar w:left="460" w:top="927" w:right="43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Market for Ordinary Shares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Ordinary Shares are listed on The Nasdaq Global Select Market under the trading symbol “GCL”.</w:t>
      </w:r>
    </w:p>
    <w:p>
      <w:pPr>
        <w:spacing w:after="0" w:line="200" w:lineRule="exact"/>
        <w:rPr>
          <w:sz w:val="20"/>
          <w:szCs w:val="20"/>
          <w:color w:val="auto"/>
        </w:rPr>
      </w:pPr>
    </w:p>
    <w:p>
      <w:pPr>
        <w:sectPr>
          <w:pgSz w:w="11900" w:h="16838" w:orient="portrait"/>
          <w:cols w:equalWidth="0" w:num="2">
            <w:col w:w="2680" w:space="720"/>
            <w:col w:w="7600"/>
          </w:cols>
          <w:pgMar w:left="460" w:top="927" w:right="439" w:bottom="1440" w:gutter="0" w:footer="0" w:header="0"/>
          <w:type w:val="continuous"/>
        </w:sectPr>
      </w:pPr>
    </w:p>
    <w:p>
      <w:pPr>
        <w:spacing w:after="0" w:line="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Except where otherwise stated, the number of Ordinary Shares that will be outstanding immediately before this offering excludes 16,500,000 Ordinary Shares underlying the Warrants and the 1,250,000 Ordinary Shares underlying the April 2026 Warrant.</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27" w:right="4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securities involves significant risks. Before making a decision to invest in our securities, you should carefully consider the following risks and those discussed in our then-most recent annual report on Form 20-F, as amended, and any updates to those risk factors in our reports on Form 6-K incorporated by reference in this prospectus, together with all of the other information appearing or incorporated by reference in this prospectus, in light of your particular investment objectives and financial circumstances.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w:t>
      </w:r>
    </w:p>
    <w:p>
      <w:pPr>
        <w:spacing w:after="0" w:line="182"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Additional risks not presently known to us or that we currently deem immaterial may also impair our business operations. The trading price and value of our securities could decline due to any of these risks, and you may lose all or part of your investment. This prospectus also contains forward-looking statements that involve risks and uncertainties. See the section entitled “Cautionary Note Regarding Forward-Looking Statements.”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Company is currently not in compliance with certain Nasdaq continued listing requirements; and if we are unable to regain compliance with Nasdaq’s continued listing requirements, our securities will be subject to delisting.</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March 17, 2026, the Company received a notice (the “Bid Price Notice”) from Nasdaq stating that the Company’s ordinary shares failed to comply with the minimum $1.00 per share requirement for continued listing on the Nasdaq under Nasdaq Listing Rule 5450(a)(1) (the “Minimum Bid Price Rule”). Pursuant to Nasdaq Listing Rule 5810(c)(3)(A), the Company has an initial period of 180 calendar days, or until September 14, 2026, to regain compliance (the “Bid Price Compliance Period”). Pursuant to the Bid Price Notice, if at any time during the Compliance Period the closing bid price of the ordinary shares is at least $1.00 for a minimum of ten consecutive business days, Nasdaq will provide the Company with written confirmation of compliance and such matter will be closed.</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the Company fails to regain compliance with the Minimum Bid Price Rule during the Bid Price Compliance period, the Company may consider applying to transfer its securities from The Nasdaq Global Select Market to The Nasdaq Capital Market, provided that the Company meets the applicable market value of publicly held shares required for continued listing and all other applicable requirements for initial listing on The Nasdaq Capital Market (except for the bid price requirement). Such transfer would provide the Company with an additional 180 calendar days, or until March 15, 2027, to regain compliance. However, there can be no assurance that the Company would be eligible for the additional 180 calendar day compliance period, if applicable, or that the Nasdaq staff would grant the Company’s request for continued listing. If we are unable to regain compliance with any of these continued listing requirements, our securities will be subject to delisting.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of the securities offered by the Selling Shareholder pursuant to this prospectus will be sold by the Selling Shareholder for his account. We will not receive any of the proceeds from these sales.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Selling Shareholder will pay any underwriting discounts and commissions and expenses incurred by the Selling Shareholder for brokerage, accounting, tax or legal services or any other expenses incurred by the Selling Shareholder in disposing of the securities. We will bear the costs, fees and expenses incurred in effecting the registration of the securities covered by this prospectus, including all registration and filing fees, Nasdaq listing fees and fees and expenses of our counsel and our independent registered public accounting firm.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is a general discussion of certain material U.S. federal income tax consequences of the ownership and disposition of Ordinary Shares for a U.S. Holder (as defined below). This discussion address only U.S. Holders that acquire Ordinary Shares in this offering. This discussion is for general information purposes only and does not purport to be a complete analysis or listing of all potential U.S. federal income tax consequences that may apply to a U.S. holder as a result of the ownership and disposition of Ordinary Shares. In addition, this discussion does not address all aspects of U.S. federal income taxation that may be relevant to particular holders nor does it take into account the individual facts and circumstances of any particular holder that may affect the U.S. federal income tax consequences to such holder, and accordingly, is not intended to be, and should not be construed as, tax advice.</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discussion is based on provisions of the U.S. Internal Revenue Code of 1986, as amended (the “Code”), the U.S. Treasury Regulations promulgated thereunder (whether final, temporary, or proposed) (the “Treasury Regulations”), published administrative rulings of the IRS, and judicial decisions, all as in effect on the date hereof. Any of the authorities on which this summary is based could be changed in a material and adverse manner at any time, and any such change could be applied on a retroactive or prospective basis which could affect the U.S. federal income tax considerations described in this summary. This discussion does not address the U.S. federal 3.8% Medicare tax imposed on certain net investment income or any aspects of U.S. federal taxation other than those pertaining to the income tax, nor does it address any tax consequences arising under any U.S. state and local, or non-U.S. tax laws. U.S. Holders should consult their own tax advisors regarding such tax consequences in light of their particular circumstances.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not sought any rulings from the IRS with respect to the statements made and the positions or conclusions described in this summary; thus, there can be no assurance that the IRS will not challenge the U.S. federal income tax treatment described below or that, if challenged, such treatment will be sustained by a court.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summary is limited to considerations relevant to U.S. Holders that hold Ordinary Shares as “capital assets” within the meaning of section 1221 of the Code (generally, property held for investment). This discussion does not address all aspects of U.S. federal income taxation that may be important to holders in light of their individual circumstances, including holders subject to special treatment under the U.S. tax laws, such as, for example:</w:t>
      </w:r>
    </w:p>
    <w:p>
      <w:pPr>
        <w:spacing w:after="0" w:line="203" w:lineRule="exact"/>
        <w:rPr>
          <w:sz w:val="20"/>
          <w:szCs w:val="20"/>
          <w:color w:val="auto"/>
        </w:rPr>
      </w:pPr>
    </w:p>
    <w:p>
      <w:pPr>
        <w:ind w:left="740" w:hanging="354"/>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or other financial institutions, underwriters, or insurance companies;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 or currencies or holders that are traders in securities who elect to apply a mark-to-market method of accounting;</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and regulated investment companies;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qualified retirement plans, individual retirement accounts, or other tax-deferred accounts;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citizens or long-term residents of the United States;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subchapter S corporations, partnerships or other pass-through entities or investors in such entities;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holder that is not a U.S. Holder;</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in securities, commodities or currencies;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grantor trusts;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persons whose “functional currency” is not the U.S. dollar;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ind w:left="740" w:right="40" w:hanging="354"/>
        <w:spacing w:after="0" w:line="282"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received shares of Ordinary Shares through the issuance of restricted stock under an equity incentive plan or through a tax-qualified retirement plan or otherwise as compensation;</w:t>
      </w:r>
    </w:p>
    <w:p>
      <w:pPr>
        <w:spacing w:after="0" w:line="215"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own (directly or through attribution) 5% or more (by vote or value) of the issued shares of the Company;</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officers or directors;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Warrants or other rights to acquire Ordinary Shares; or</w:t>
      </w:r>
    </w:p>
    <w:p>
      <w:pPr>
        <w:spacing w:after="0" w:line="279" w:lineRule="exact"/>
        <w:rPr>
          <w:rFonts w:ascii="Times New Roman" w:cs="Times New Roman" w:eastAsia="Times New Roman" w:hAnsi="Times New Roman"/>
          <w:sz w:val="18"/>
          <w:szCs w:val="18"/>
          <w:color w:val="auto"/>
        </w:rPr>
      </w:pPr>
    </w:p>
    <w:p>
      <w:pPr>
        <w:ind w:left="740" w:right="20" w:hanging="354"/>
        <w:spacing w:after="0" w:line="282"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holding Ordinary Shares as a position in a “straddle,” as part of a “synthetic security” or “hedge,” as part of a “conversion transaction,” or other integrated investment or risk reduction transaction;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used in this prospectus, the term “U.S. Holder” means a beneficial owner of Ordinary Shares for U.S. federal income tax purposes:</w:t>
      </w:r>
    </w:p>
    <w:p>
      <w:pPr>
        <w:spacing w:after="0" w:line="252" w:lineRule="exact"/>
        <w:rPr>
          <w:sz w:val="20"/>
          <w:szCs w:val="20"/>
          <w:color w:val="auto"/>
        </w:rPr>
      </w:pPr>
    </w:p>
    <w:p>
      <w:pPr>
        <w:ind w:left="740" w:hanging="354"/>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79" w:lineRule="exact"/>
        <w:rPr>
          <w:rFonts w:ascii="Times New Roman" w:cs="Times New Roman" w:eastAsia="Times New Roman" w:hAnsi="Times New Roman"/>
          <w:sz w:val="18"/>
          <w:szCs w:val="18"/>
          <w:color w:val="auto"/>
        </w:rPr>
      </w:pPr>
    </w:p>
    <w:p>
      <w:pPr>
        <w:ind w:left="740" w:right="20" w:hanging="354"/>
        <w:spacing w:after="0" w:line="28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that is classified as a corporation for U.S. federal income tax purposes) that is created or organized in or under the laws of the United States or any State thereof or the District of Columbia;</w:t>
      </w:r>
    </w:p>
    <w:p>
      <w:pPr>
        <w:spacing w:after="0" w:line="215"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279" w:lineRule="exact"/>
        <w:rPr>
          <w:rFonts w:ascii="Times New Roman" w:cs="Times New Roman" w:eastAsia="Times New Roman" w:hAnsi="Times New Roman"/>
          <w:sz w:val="18"/>
          <w:szCs w:val="18"/>
          <w:color w:val="auto"/>
        </w:rPr>
      </w:pPr>
    </w:p>
    <w:p>
      <w:pPr>
        <w:jc w:val="both"/>
        <w:ind w:left="740" w:right="40" w:hanging="354"/>
        <w:spacing w:after="0" w:line="266"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the administration of which is subject to the primary supervision of a U.S. court and which has one or more “United States persons” (within the meaning of Section 7701(a)(30) of the Code) who have the authority to control all substantial decisions of the trust or (ii) that has made a valid election under applicable Treasury Regulations to be treated as a United States person.</w:t>
      </w: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a partnership, including for this purpose any entity or arrangement that is treated as a partnership for U.S. federal income tax purposes, holds Ordinary Shares, the U.S. federal income tax treatment of a partner in such partnership will generally depend on the status of the partner and the activities of the partnership. This discussion does not address the tax consequences to any such partner or partnership. A holder that is a partnership and the partners in such partnership should consult their own tax advisors with regard to the U.S. federal income tax consequences of the ownership and disposition of Ordinary Shares.</w:t>
      </w:r>
    </w:p>
    <w:p>
      <w:pPr>
        <w:spacing w:after="0" w:line="17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THIS SUMMARY DOES NOT PURPORT TO BE A COMPREHENSIVE ANALYSIS OR DESCRIPTION OF ALL POTENTIAL U.S. FEDERAL INCOME TAX CONSEQUENCES OF THE OWNERSHIP AND DISPOSITION OF ORDINARY SHARES. IN ADDITION, THE U.S. FEDERAL INCOME TAX TREATMENT OF THE BENEFICIAL OWNERS OF ORDINARY SHARES MAY BE AFFECTED BY MATTERS NOT DISCUSSED HEREIN AND DEPENDS IN SOME INSTANCES ON DETERMINATIONS OF FACT AND INTERPRETATIONS OF COMPLEX PROVISIONS OF U.S. FEDERAL INCOME TAX LAW FOR WHICH NO CLEAR PRECEDENT OR AUTHORITY MAY BE AVAILABLE. HOLDERS SHOULD CONSULT WITH THEIR TAX ADVISORS REGARDING THE PARTICULAR TAX CONSEQUENCES TO THEM OF THE OWNERSHIP AND DISPOSITION OF ORDINARY SHARES, INCLUDING THE APPLICABILITY AND EFFECTS OF U.S. FEDERAL, STATE, LOCAL, AND OTHER TAX LAWS.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Treatment of PubCo</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corporation is generally considered for U.S. federal income tax purposes to be a tax resident in the jurisdiction of its organization and incorporation. Accordingly, under generally applicable U.S. federal income tax rules, PubCo, which is incorporated under the laws of the Cayman Islands, would be classified as a non-U.S. corporation (and, therefore, not a U.S. tax resident) for U.S. federal income tax purposes. Section 7874 of the Code provides an exception to this general rule (more fully discussed below), under which a non-U.S. incorporated entity may, in certain circumstances, be treated as a U.S. corporation for U.S. federal income tax purposes. These rules are complex and there is limited guidance regarding their application.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5" w:name="page16"/>
    <w:bookmarkEnd w:id="15"/>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Under Section 7874 of the Code, a corporation created or organized outside the United States (i.e., a non-U.S. corporation) will nevertheless be treated as a U.S. corporation for U.S. federal income tax purposes (and, therefore, as a U.S. tax resident subject to U.S. federal income tax on its worldwide income) if each of the following three conditions are met: (i) the non-U.S. corporation, directly or indirectly, acquires substantially all of the properties held directly or indirectly by a U.S. corporation (including through the acquisition of all of the outstanding shares of the U.S. corporation); (ii) the non-U.S. corporation’s “expanded affiliate group” does not have “substantial business activities” in the non-U.S. corporation’s country of organization or incorporation and (iii) after the acquisition, the former shareholders of the acquired U.S. corporation hold at least 80% (by either vote or value) of the shares of the non-U.S. acquiring corporation by reason of holding shares in the U.S. acquired corporation (taking into account the receipt of the non-U.S. corporation’s shares in exchange for the U.S. corporation’s shares) as determined for purposes of Section 7874 (this test is referred to as the “ownership test”). The ownership test in clause (iii) above is modified with respect to potential “third-country transactions” such that the ownership test will be met if, after the acquisition, the former shareholders of the acquired U.S. corporation hold at least 60% (by either vote or value) of the shares of the non-U.S. acquiring corporation by reason of holding shares in the U.S. acquired corporation (as modified, the “modified ownership test”). Because the Business Combination was a potential third-country transaction, the potential Section 7874 treatment of PubCo was determined using the modified ownership test.</w:t>
      </w:r>
    </w:p>
    <w:p>
      <w:pPr>
        <w:spacing w:after="0" w:line="19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purposes of Section 7874 of the Code, the first two conditions described above were expected be met with respect to the Business Combination because PubCo acquired indirectly all of the assets of RFAC through the SPAC Merger, and PubCo, including its “expanded affiliate group,” was not expected to satisfy the substantial business activities test upon consummation of the Business Combination. As a result, whether Section 7874 applied to cause PubCo to be treated as a U.S. corporation for U.S. federal income tax purposes following the Business Combination potentially depended on the satisfaction of the modified ownership test.</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Based upon the terms of the Business Combination, the rules for determining share ownership under Section 7874 of the Code and the Treasury Regulations promulgated thereunder, and certain factual assumptions, the Section 7874 ownership percentage of the RFAC stockholders in PubCo is expected to have been less than 60%. Accordingly, PubCo is not expected to be treated as a U.S. corporation for U.S. federal income tax purposes under Section 7874 of the Code. However, the calculations for determining share ownership for purposes of the ownership test under Section 7874 of the Code are complex, subject to detailed rules and regulations (the application of which is uncertain in various respects and could be impacted by changes to applicable rules and regulations under U.S. federal income tax laws, with possible retroactive effect), and subject to certain factual uncertainties. Furthermore, for purposes of determining the ownership percentage of RFAC stockholders for purposes of Section 7874, among other adjustments required to be taken into account, RFAC stockholders will be deemed to own an amount of PubCo Ordinary Shares in respect to certain redemptions by RFAC prior to the SPAC Merger. Accordingly, given the inherently factual nature of the analysis, neither RFAC nor PubCo has sought a legal opinion from counsel in respect of the potential applicability of Section 7874 to the Business Combination, and there can be no assurance that the IRS would not assert a contrary position to those described above or that such an assertion would not be sustained by a court.</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PubCo were to be treated as a U.S. corporation for U.S. federal income tax purposes, it could be subject to substantial liability for additional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 and the gross amount of any dividend payments to its non-U.S. investors could be subject to U.S. withholding tax.</w:t>
      </w:r>
    </w:p>
    <w:p>
      <w:pPr>
        <w:spacing w:after="0" w:line="20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remainder of this discussion assumes that PubCo will not be treated as a U.S. corporation for U.S. federal income tax purposes under Section 7874 of the Code.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Consequences of Ownership and Disposition of Ordinary Shares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on Ordinary Shares</w:t>
      </w:r>
    </w:p>
    <w:p>
      <w:pPr>
        <w:spacing w:after="0" w:line="22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Subject to the PFIC rules discussed below “— </w:t>
      </w:r>
      <w:r>
        <w:rPr>
          <w:rFonts w:ascii="Times New Roman" w:cs="Times New Roman" w:eastAsia="Times New Roman" w:hAnsi="Times New Roman"/>
          <w:sz w:val="18"/>
          <w:szCs w:val="18"/>
          <w:i w:val="1"/>
          <w:iCs w:val="1"/>
          <w:color w:val="auto"/>
        </w:rPr>
        <w:t>Passive Foreign Investment Company Status</w:t>
      </w:r>
      <w:r>
        <w:rPr>
          <w:rFonts w:ascii="Times New Roman" w:cs="Times New Roman" w:eastAsia="Times New Roman" w:hAnsi="Times New Roman"/>
          <w:sz w:val="18"/>
          <w:szCs w:val="18"/>
          <w:color w:val="auto"/>
        </w:rPr>
        <w:t>,” a U.S. Holder generally will be required to include in gross income any distribution of cash or property paid on Ordinary Shares that is treated as a dividend for U.S. federal income tax purposes. A distribution on such shares generally will be treated as a dividend for U.S. federal income tax purposes to the extent the distribution is paid out of our current or accumulated earnings and profits (as determined under U.S. federal income tax principles). Such dividends paid by us will be taxable to a corporate U.S. Holder at regular rates and will not be eligible for the dividends-received deduction generally allowed to domestic corporations in respect of dividends received from other domestic corporations.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Dividends received by non-corporate U.S. Holders from a “qualified foreign corporation” may be eligible for reduced rates of taxation, provided that certain holding period requirements and other conditions are satisfied. For these purposes, a non-U.S. corporation will be treated as a qualified foreign corporation with respect to dividends paid by that corporation on shares that are readily tradable on an established securities market in the United States. The Treasury guidance indicates that shares listed on the Nasdaq will be considered readily tradable on an established securities market in the United States. Although the Ordinary Shares are currently listed on the Nasdaq, there can be no assurance that the Ordinary Shares will be considered readily tradable on an established securities market in future years. Non-corporate U.S. Holders that do not meet a minimum holding period requirement or that elect to treat the dividend income as “investment income” pursuant to Section 163(d)(4) of the Code (dealing with the deduction for investment interest expense) will not be eligible for the reduced rates of taxation regardless of our status as a qualified foreign corporation. In addition, the rate reduction will not apply to dividends if the recipient of a dividend is obligated to make related payments with respect to positions in substantially similar or related property. This disallowance applies even if the minimum holding period has been met. Finally, we will not constitute a qualified foreign corporation for purposes of these rules if we are a PFIC for the taxable year in which we pay a dividend or for the preceding taxable year. See the discussion below under “— </w:t>
      </w:r>
      <w:r>
        <w:rPr>
          <w:rFonts w:ascii="Times New Roman" w:cs="Times New Roman" w:eastAsia="Times New Roman" w:hAnsi="Times New Roman"/>
          <w:sz w:val="18"/>
          <w:szCs w:val="18"/>
          <w:i w:val="1"/>
          <w:iCs w:val="1"/>
          <w:color w:val="auto"/>
        </w:rPr>
        <w:t>Passive Foreign Investment Company Status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amount of any dividend paid in foreign currency will be the U.S. dollar value of the foreign currency distributed by us, calculated by reference to the spot exchange rate in effect on the date the dividend is includible in the U.S. Holder’s income, regardless of whether the payment is in fact converted into U.S. dollars on the date of receipt. Generally, a U.S. Holder should not recognize any foreign currency gain or loss if the foreign currency is converted into U.S. dollars on the date the payment is received. However, any gain or loss resulting from currency exchange fluctuations during the period from the date the U.S. Holder includes the dividend payment in income to the date such U.S. Holder actually converts the payment into U.S. dollars will be treated as ordinary income or loss.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To the extent that the amount of any distribution made by us on the Ordinary Shares exceeds our current and accumulated earnings and profits for a taxable year (as determined under U.S. federal income tax principles), the distribution will first be treated as a tax-free return of capital, causing a reduction in the adjusted basis of the U.S. Holder’s Ordinary Shares, and to the extent the amount of the distribution exceeds the U.S. Holder’s tax basis, the excess will be taxed as capital gain recognized on a sale or exchange as described below under “— </w:t>
      </w:r>
      <w:r>
        <w:rPr>
          <w:rFonts w:ascii="Times New Roman" w:cs="Times New Roman" w:eastAsia="Times New Roman" w:hAnsi="Times New Roman"/>
          <w:sz w:val="18"/>
          <w:szCs w:val="18"/>
          <w:i w:val="1"/>
          <w:iCs w:val="1"/>
          <w:color w:val="auto"/>
        </w:rPr>
        <w:t>Sale, Exchange, Redemption or Other Taxable Disposition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Ordinary Shares</w:t>
      </w:r>
      <w:r>
        <w:rPr>
          <w:rFonts w:ascii="Times New Roman" w:cs="Times New Roman" w:eastAsia="Times New Roman" w:hAnsi="Times New Roman"/>
          <w:sz w:val="18"/>
          <w:szCs w:val="18"/>
          <w:color w:val="auto"/>
        </w:rPr>
        <w:t>.” However, we may not calculate earnings and profits in accordance with U.S. federal income tax principles. In such event, a U.S. 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should expect to generally treat distributions we make as dividends.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Exchange, Redemption or Other Taxable Disposition of Ordinary Shares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Subject to the discussion below under “</w:t>
      </w:r>
      <w:r>
        <w:rPr>
          <w:rFonts w:ascii="Times New Roman" w:cs="Times New Roman" w:eastAsia="Times New Roman" w:hAnsi="Times New Roman"/>
          <w:sz w:val="18"/>
          <w:szCs w:val="18"/>
          <w:i w:val="1"/>
          <w:iCs w:val="1"/>
          <w:color w:val="auto"/>
        </w:rPr>
        <w:t>— Passive Foreign Investment Company Status</w:t>
      </w:r>
      <w:r>
        <w:rPr>
          <w:rFonts w:ascii="Times New Roman" w:cs="Times New Roman" w:eastAsia="Times New Roman" w:hAnsi="Times New Roman"/>
          <w:sz w:val="18"/>
          <w:szCs w:val="18"/>
          <w:color w:val="auto"/>
        </w:rPr>
        <w:t>,” a U.S. Holder will generally recognize gain or loss on any sale, exchange, or other taxable disposition of Ordinary Shares in an amount equal to the difference between the amount realized on the disposition and such U.S. Holder’s adjusted tax basis in such Ordinary Shares. Any gain or loss recognized by a U.S. Holder on a taxable disposition of Ordinary Shares will generally be capital gain or loss and will be long-term capital gain or loss if the holder’s holding period in the Ordinary Shares exceeds one year at the time of the disposition. Preferential tax rates may apply to long-term capital gains of non-corporate U.S. Holders. The deductibility of capital losses is subject to limitations. Any gain or loss recognized by a U.S. Holder on the sale or exchange of Ordinary Shares will generally be treated as U.S. source gain or loss.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Status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Certain adverse U.S. federal income tax consequences could apply to a U.S. Holder if we are treated as a PFIC for any taxable year during which U.S. Holders hold our securities. A foreign (i.e., non-U.S.) corporation will be classified as a PFIC for U.S. federal income tax purposes if at least 75% of its gross income in a taxable year, including its pro rata share of the gross income of any entity in which it is considered to own at least 25% of the interest by value, is passive income. Alternatively, a foreign corporation will be a PFIC if at least 50% of its assets in a taxable year, ordinarily determined based on fair market value and averaged quarterly over the year, including its pro rata share of the assets of any entity in which it is considered to own at least 25% of the interest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determination of whether we are a PFIC is a fact-intensive determination made on an annual basis applying principles and methodologies that in some circumstances are unclear and subject to varying interpretation. Under the income test described above, our status as a PFIC depends on the composition of our income which will depend on the transactions we enter into in the future and our corporate structure. The composition of our income and assets is also affected by the spending of the cash we raise in any offering, including this offering. We do not currently expect to be a PFIC for U.S. federal income tax purposes, but this conclusion is a factual determination made annually and, thus, is subject to change. Our U.S. counsel expresses no opinion with respect to our PFIC status for any taxable year. We urge U.S. Holders to consult their own tax advisors regarding the possible application of the PFIC rules in light of their individual circumstances.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U.S. Holders are required to report information to the Internal Revenue Service relating to an interest in “specified foreign financial assets,” including shares issued by a non-United States corporation, for any year in which the aggregate value of all specified foreign financial assets exceeds $50,000 (or a higher dollar amount prescribed by the Internal Revenue Service), subject to certain exceptions (including an exception for shares held in custodial accounts maintained with a U.S. financial institution). These rules also impose penalties if a U.S. Holder is required to submit such information to the Internal Revenue Service and fails to do so.</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dividend payments with respect to our Ordinary Shares and proceeds from the sale, exchange or redemption of our Ordinary Shares may be subject to additional information reporting to the IRS and possible U.S. backup withholding. Backup withholding will not apply, however, to a U.S. Holder who furnishes a correct taxpayer identification number and makes any other required certification on IRS Form W-9 or who is otherwise exempt from backup withholding. U.S. Holders who are required to establish their exempt status generally must provide such certification on IRS Form W-9. U.S. Holders are urged to consult their tax advisors regarding the application of the U.S. information reporting and backup withholding rules.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your U.S. federal income tax liability, and you may obtain a refund of any excess amounts withheld under the backup withholding rules by filing the appropriate claim for refund with the IRS and furnishing any required information. We do not intend to withhold taxes for individual shareholders. However, transactions effected through certain brokers or other intermediaries may be subject to withholding taxes (including backup withholding), and such brokers or intermediaries may be required by law to withhold such taxes.</w:t>
      </w:r>
    </w:p>
    <w:p>
      <w:pPr>
        <w:spacing w:after="0" w:line="179"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THE PRECEDING DISCUSSION OF U.S. FEDERAL TAX CONSIDERATIONS IS FOR GENERAL INFORMATION PURPOSES ONLY. IT IS NOT TAX ADVICE. EACH PROSPECTIVE INVESTOR SHOULD CONSULT ITS OWN TAX ADVISOR REGARDING THE PARTICULAR U.S. FEDERAL, STATE, LOCAL AND FOREIGN TAX CONSEQUENCES OF PURCHASING, HOLDING AND DISPOSING OF OUR ORDINARY SHARES, INCLUDING THE CONSEQUENCES OF ANY PROPOSED CHANGE IN APPLICABLE LAWS.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GCL Global Holdings Ltd is a Cayman Islands company incorporated with limited liability and our affairs are governed by the provisions of its Amended and Restated Memorandum and Articles of Association (the “Company Charter”), as amended and restated from time to time, and by the provisions of applicable Cayman Islands law, including the Companies Act and the common law of the Cayman Islands.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company registration number in the Cayman Islands is 403942. As provided in the Company Charter, subject to Cayman Islands law, we have full power and authority to carry out any object not prohibited by the laws of the Cayman Islands.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description summarizes certain terms of our shares as set out more particularly in the of the Company Charter. Because it is only a summary, it may not contain all the information that is important to you. We urge you to read the applicable provisions of Cayman Islands law and the Company Charter carefully and in their entirety because they describe your rights as a holder of the Company’s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authorized shares of the Company consist of US$50,000 divided into 500,000,000 Shares of a par value of US$0.0001 each.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the Companies Act, the Company’s shares are deemed to be issued when the name of the shareholder is entered in our register of members. Our register of members will be maintained by our transfer agent Continental Stock Transfer &amp; Trust Company (“Continental Stock”). If (a) information that is required to be entered in the register of members is omitted from the register or is inaccurately entered in the register, or (b) there is unreasonable delay in entering information in the register, without sufficient cause, a shareholder of the Company, or any person who is aggrieved by the omission, inaccuracy or delay, may apply to the Cayman Islands Court for an order that the register be rectified, and the Court may either refuse the application or order the rectification of the register, and may direct the Company to pay all costs of the application and any damages the applicant may have sustained.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summarizes the rights of holders of our Ordinary Shares:</w:t>
      </w:r>
    </w:p>
    <w:p>
      <w:pPr>
        <w:spacing w:after="0" w:line="252" w:lineRule="exact"/>
        <w:rPr>
          <w:sz w:val="20"/>
          <w:szCs w:val="20"/>
          <w:color w:val="auto"/>
        </w:rPr>
      </w:pPr>
    </w:p>
    <w:p>
      <w:pPr>
        <w:ind w:left="740" w:right="40" w:hanging="354"/>
        <w:spacing w:after="0" w:line="282"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Ordinary Shares is entitled to one vote per share on all matters to be voted on by shareholders generally, including the appointment of directors;</w:t>
      </w:r>
    </w:p>
    <w:p>
      <w:pPr>
        <w:spacing w:after="0" w:line="215" w:lineRule="exact"/>
        <w:rPr>
          <w:rFonts w:ascii="Times New Roman" w:cs="Times New Roman" w:eastAsia="Times New Roman" w:hAnsi="Times New Roman"/>
          <w:sz w:val="18"/>
          <w:szCs w:val="18"/>
          <w:color w:val="auto"/>
        </w:rPr>
      </w:pPr>
    </w:p>
    <w:p>
      <w:pPr>
        <w:jc w:val="both"/>
        <w:ind w:left="740" w:right="20" w:hanging="354"/>
        <w:spacing w:after="0" w:line="266"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our Ordinary Shares are entitled to dividends and other distributions, as may be declared from time to time by our board of directors out of funds legally available for that purpose, if any, and pursuant to the Company Charter, all dividends unclaimed for three years from the date the dividend became due for payment shall be forfeited and shall revert to the Company; and</w:t>
      </w:r>
    </w:p>
    <w:p>
      <w:pPr>
        <w:spacing w:after="0" w:line="229" w:lineRule="exact"/>
        <w:rPr>
          <w:rFonts w:ascii="Times New Roman" w:cs="Times New Roman" w:eastAsia="Times New Roman" w:hAnsi="Times New Roman"/>
          <w:sz w:val="18"/>
          <w:szCs w:val="18"/>
          <w:color w:val="auto"/>
        </w:rPr>
      </w:pPr>
    </w:p>
    <w:p>
      <w:pPr>
        <w:ind w:left="740" w:right="40" w:hanging="354"/>
        <w:spacing w:after="0" w:line="282"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our liquidation, dissolution or winding up, the holders of Ordinary Shares will be entitled to share ratably, in the distribution of all of our assets remaining available for distribution after satisfaction of all our liabilities.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Preference Shares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rights, preferences and privileges of Ordinary Shares are subject to, and may be adversely affected by, the rights of the holders of any other class of shares that we may designate in the future having such rights as specified by the board of directors pursuant to the resolution of directors approving the creation of such class of shares. The directors shall not require any approval of the shareholders or any class of shareholders in respect of the creation or issuance of preference shares. However, any related amendment to the Company Charter will require approval of our shareholders by way of special resolution (which requires a majority of not less than two-thirds).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Preemption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Holders of Ordinary Shares do not have any preemptive or other rights to subscribe for additional shares pursuant to the Company Charter.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Meetings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summarizes certain relevant provisions of Cayman Islands law and the Company Charter in relation to our shareholders’ meetings:</w:t>
      </w:r>
    </w:p>
    <w:p>
      <w:pPr>
        <w:spacing w:after="0" w:line="252" w:lineRule="exact"/>
        <w:rPr>
          <w:sz w:val="20"/>
          <w:szCs w:val="20"/>
          <w:color w:val="auto"/>
        </w:rPr>
      </w:pPr>
    </w:p>
    <w:p>
      <w:pPr>
        <w:ind w:left="740" w:right="40" w:hanging="354"/>
        <w:spacing w:after="0" w:line="282"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Company may convene meetings of shareholders at such times and in such manner and places within or outside the Cayman Islands as the directors consider necessary or desirable. There is no requirement for the Company to hold annual general meetings;</w:t>
      </w:r>
    </w:p>
    <w:p>
      <w:pPr>
        <w:spacing w:after="0" w:line="215" w:lineRule="exact"/>
        <w:rPr>
          <w:rFonts w:ascii="Times New Roman" w:cs="Times New Roman" w:eastAsia="Times New Roman" w:hAnsi="Times New Roman"/>
          <w:sz w:val="18"/>
          <w:szCs w:val="18"/>
          <w:color w:val="auto"/>
        </w:rPr>
      </w:pPr>
    </w:p>
    <w:p>
      <w:pPr>
        <w:ind w:left="740" w:right="40" w:hanging="354"/>
        <w:spacing w:after="0" w:line="282"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shareholders holding not less than twenty percent (20%) in par value of the issued shares which as at that date carry the right to vote at general meetings shall have the ability to requisition a general meeting;</w:t>
      </w:r>
    </w:p>
    <w:p>
      <w:pPr>
        <w:spacing w:after="0" w:line="215"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convening a meeting of shareholders must give not less than ten days’ clear notice of the proposed meeting;</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may be represented at a meeting of shareholders by a proxy who may speak and vote on behalf of the shareholder;</w:t>
      </w:r>
    </w:p>
    <w:p>
      <w:pPr>
        <w:spacing w:after="0" w:line="279" w:lineRule="exact"/>
        <w:rPr>
          <w:rFonts w:ascii="Times New Roman" w:cs="Times New Roman" w:eastAsia="Times New Roman" w:hAnsi="Times New Roman"/>
          <w:sz w:val="18"/>
          <w:szCs w:val="18"/>
          <w:color w:val="auto"/>
        </w:rPr>
      </w:pPr>
    </w:p>
    <w:p>
      <w:pPr>
        <w:jc w:val="both"/>
        <w:ind w:left="740" w:right="20" w:hanging="354"/>
        <w:spacing w:after="0" w:line="266"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business may be transacted at a general meeting unless a quorum is present. A quorum is those shareholders present in person or by proxy or by a duly authorised representative holding shares entitled to vote on the business to be transacted which represent not less than one-third of all issued shares, unless the Company has only one shareholder in which case that shareholder alone constitutes a quorum;</w:t>
      </w:r>
    </w:p>
    <w:p>
      <w:pPr>
        <w:spacing w:after="0" w:line="229" w:lineRule="exact"/>
        <w:rPr>
          <w:rFonts w:ascii="Times New Roman" w:cs="Times New Roman" w:eastAsia="Times New Roman" w:hAnsi="Times New Roman"/>
          <w:sz w:val="18"/>
          <w:szCs w:val="18"/>
          <w:color w:val="auto"/>
        </w:rPr>
      </w:pPr>
    </w:p>
    <w:p>
      <w:pPr>
        <w:jc w:val="both"/>
        <w:ind w:left="740" w:right="20" w:hanging="354"/>
        <w:spacing w:after="0" w:line="266"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ordinary resolution of shareholders is passed by a simple majority of such shareholders as, being entitled to do so, vote in person or, where proxies are allowed, by proxy at a general meeting of the Company and where a poll is taken regard shall be had in computing a majority to the number of votes to which each shareholder is entitled by the Company Charter;</w:t>
      </w:r>
    </w:p>
    <w:p>
      <w:pPr>
        <w:spacing w:after="0" w:line="229" w:lineRule="exact"/>
        <w:rPr>
          <w:rFonts w:ascii="Times New Roman" w:cs="Times New Roman" w:eastAsia="Times New Roman" w:hAnsi="Times New Roman"/>
          <w:sz w:val="18"/>
          <w:szCs w:val="18"/>
          <w:color w:val="auto"/>
        </w:rPr>
      </w:pPr>
    </w:p>
    <w:p>
      <w:pPr>
        <w:jc w:val="both"/>
        <w:ind w:left="740" w:right="20" w:hanging="354"/>
        <w:spacing w:after="0" w:line="261"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resolution of shareholders is passed by a majority of not less than two-thirds of such shareholders as, being entitled to do so, vote in person or, where proxies are allowed, by proxy at a general meeting of the Company of which notice specifying the intention to propose the resolution as a special resolution has been duly given and where a poll is taken regard shall be had in computing a majority to the number of votes to which each shareholder is entitled.</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Charter does not permit the adoption by the shareholders of resolutions in writing. A shareholder resolution must be passed at a meeting of the shareholders.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Shareholders have no general right under the Company Charter to bring business before a general meeting of the Company, save in the case of any shareholders right to requisition a general meeting provided the minimum shareholder requirement is met.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Directors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directors of the Company may be appointed by an ordinary resolution of the shareholders. Alternatively, the Company board of directors may, by the affirmative vote of a simple majority of the directors present and voting at a board meeting appoint any person as a director to fill a casual vacancy on the board or as an addition to the existing board. The Company directors are not automatically subject to a term of office and hold office until such time as their office is vacated or where they are removed from office by an ordinary resolution of shareholders or otherwise in accordance with the Company Charter. In addition, a director will cease to be a director if, among other things the director (i) becomes bankrupt or makes any arrangement or composition with his or her creditors: (ii) dies or is found to be or becomes of unsound mind within the scope of the Company Charter: (iii) resigns his or her office by notice in writing to the Company; (iv) without special leave of absence from the Company Board, is absent from board meetings for a continuous period of 6 months and the Company directors resolve that his or her office be vacated; (v) by notice in writing signed by not less than three-fourths of all the Company directors in number; or (vi) is removed from office pursuant to any other provision of the Company Charter.</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officers of the Company are appointed by and serve at the discretion of the board of directors, and may be removed by our board of directors.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Shareholder Suits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principle, the Company will normally be the proper plaintiff and as a general rule a derivative action may not be brought by a minority shareholder. However, based on English authorities, which would in all likelihood be of persuasive authority in the Cayman Islands, the Cayman Islands courts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p>
      <w:pPr>
        <w:spacing w:after="0" w:line="207" w:lineRule="exact"/>
        <w:rPr>
          <w:sz w:val="20"/>
          <w:szCs w:val="20"/>
          <w:color w:val="auto"/>
        </w:rPr>
      </w:pPr>
    </w:p>
    <w:p>
      <w:pPr>
        <w:ind w:left="740" w:hanging="354"/>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w:t>
      </w:r>
    </w:p>
    <w:p>
      <w:pPr>
        <w:spacing w:after="0" w:line="279" w:lineRule="exact"/>
        <w:rPr>
          <w:rFonts w:ascii="Times New Roman" w:cs="Times New Roman" w:eastAsia="Times New Roman" w:hAnsi="Times New Roman"/>
          <w:sz w:val="18"/>
          <w:szCs w:val="18"/>
          <w:color w:val="auto"/>
        </w:rPr>
      </w:pPr>
    </w:p>
    <w:p>
      <w:pPr>
        <w:ind w:left="740" w:right="40" w:hanging="354"/>
        <w:spacing w:after="0" w:line="282" w:lineRule="auto"/>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the number of votes which have actually been obtained; and</w:t>
      </w:r>
    </w:p>
    <w:p>
      <w:pPr>
        <w:spacing w:after="0" w:line="215"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shareholder may have a direct right of action against us where the individual rights of that shareholder have been infringed or are about to be infringed.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April 2026 Warrant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April 28, 2026, the Company issued to an institutional investor a warrant for 1,125,000 shares at an initial exercise price of $8.00 per share (the “April 2026 Warrant”), subject to full-ratchet anti-dilution adjustments and other price protections, in exchange for a portion of the then-outstanding Notes pursuant to the Exchange Agreement, in reliance on the exemption from registration provided by Section 3(a)(9) of the Securities Act. The April 2026 Warrant has a term of three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Warrants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summary is not complete and is subject to, and is qualified in its entirety by reference to, the provisions of the Warrant Agreement, dated as of March 23, 2022, by and between RFAC and Continental Stock Transfer &amp; Trust Company (the “2022 Warrant Agreement”), which was filed as Exhibit 4.5 to the registration statement (333-261765).</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February 13, 2025, the Company, RFAC and Continental Stock Transfer &amp; Trust Company entered into the Assignment, Assumption and Amendment Agreement (the “Amended Warrant Agreement”), pursuant to which, among other things, effective as of the Effective Time, the Company assumed the obligations of RFAC under the 2022 Warrant Agreement. Pursuant to the Business Combination Agreement and the Amended Warrant Agreement, each issued and outstanding warrant of RFAC sold to the public and to the Sponsor and EBC in a private placement in connection with RFAC’s initial public offering was exchanged for a corresponding warrant exercisable for the Company’s Ordinary Shares.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Warrants have the same terms as the RFAC Warrants. Each whole Warrant entitles the registered holder to purchase one Ordinary Share at a price of $11.50 per share, subject to adjustment as discussed below, at any time commencing 30 days after the completion of our Business Combination; provided that we have an effective registration statement under the Securities Act covering the Ordinary Shares issuable upon exercise of the Warrants and a current prospectus relating to them is available (or we permit holders to exercise their Warrants on a cashless basis under the circumstances specified in the warrant agreement) and such shares are registered, qualified or exempt from registration under the securities, or blue sky, laws of the state of residence of the holder. Pursuant to the warrant agreement, a warrant holder may exercise its warrants only for a whole number of Ordinary Shares. This means only a whole Warrant may be exercised at a given time by a warrant holder. The Warrants will expire five years after the completion of our Business Combination, at 5:00 p.m., New York City time, or earlier upon redemption or liquidation.</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will not be obligated to deliver any Ordinary Shares pursuant to the exercise of a Warrant and will have no obligation to settle such Warrant exercise unless a registration statement under the Securities Act with respect to the Ordinary Shares underlying the warrants is then effective and a prospectus relating thereto is current, subject to our satisfying our obligations described below with respect to registration. No Warrant will be exercisable and we will not be obligated to issue a Ordinary Share upon exercise of a Warrant unless the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Ordinary Share underlying such Unit.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registered the Ordinary Shares issuable upon exercise of the Warrants on a Registration Statement on Form S-1 (File No. 333-265353) because the Warrants has become exercisable 30 days after the completion of its Business Combination, which may be within one year of our Initial Public Offering. However, because the Warrants will be exercisable until their expiration date of up to five years after the completion of our Business Combination, in order to comply with the requirements of Section 10(a)(3) of the Securities Act following the consummation of our Business Combination, under the terms of the warrant agreement, we have agreed that, as soon as practicable, but in no event later than 15 business days, after the closing of its Business Combination, we will use our best efforts to file with the SEC a post-effective amendment to the registration statement or a new registration statement covering the registration under the Securities Act of the Ordinary Shares issuable upon exercise of the Warrants and thereafter will use our best efforts to cause the same to become effective within 60 business days following our Business Combination and to maintain a current prospectus relating to the Ordinary Shares issuable upon exercise of the Warrants until the expiration of the Warrants in accordance with the provisions of the warrant agreement. If a registration statement covering the Ordinary Shares issuable upon exercise of the Warrants is not effective by the sixtieth (60th) business day after the closing of our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above, if our Ordinary Shares are at the time of any exercise of a Warrant no longer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best efforts to register or qualify the shares under applicable blue sky laws to the extent an exemption is not available. On April 3, 2025, we registered the Ordinary Shares issuable upon exercise of these Warrants on a Registration Statement on Form F-1 (File No. 333-265353) which was declared effective by the SEC on April 7,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Once the Warrants become exercisable, we may call the Warrants for redemption for cash:</w:t>
      </w:r>
    </w:p>
    <w:p>
      <w:pPr>
        <w:spacing w:after="0" w:line="252" w:lineRule="exact"/>
        <w:rPr>
          <w:sz w:val="20"/>
          <w:szCs w:val="20"/>
          <w:color w:val="auto"/>
        </w:rPr>
      </w:pPr>
    </w:p>
    <w:p>
      <w:pPr>
        <w:ind w:left="740" w:hanging="354"/>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$.01 per Warrant;</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(the “30-day redemption period”) to each warrant holder; and</w:t>
      </w:r>
    </w:p>
    <w:p>
      <w:pPr>
        <w:spacing w:after="0" w:line="279" w:lineRule="exact"/>
        <w:rPr>
          <w:rFonts w:ascii="Times New Roman" w:cs="Times New Roman" w:eastAsia="Times New Roman" w:hAnsi="Times New Roman"/>
          <w:sz w:val="18"/>
          <w:szCs w:val="18"/>
          <w:color w:val="auto"/>
        </w:rPr>
      </w:pPr>
    </w:p>
    <w:p>
      <w:pPr>
        <w:jc w:val="both"/>
        <w:ind w:left="740" w:right="20" w:hanging="354"/>
        <w:spacing w:after="0" w:line="261" w:lineRule="auto"/>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common stock equals or exceeds $18.00 per share (as adjusted for stock splits, stock capitalizations, reorganizations, recapitalizations and the like and for certain issuances of Ordinary Shares and equity-linked securities for capital raising purposes in connection with the closing of our Business Combination as described elsewhere in this Annual Report) for any 20 trading days within a 30-trading day period ending three business days before we send to the notice of redemption to the warrant holders.</w:t>
      </w:r>
    </w:p>
    <w:p>
      <w:pPr>
        <w:spacing w:after="0" w:line="20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If and when the Warrants become redeemable by us for cash, we may exercise our redemption right even if we are unable to register or qualify the underlying securities for sale under all applicable state securities laws.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Ordinary Shares may fall below the $18.00 redemption trigger price (as adjusted for stock splits, stock capitalizations, reorganizations, recapitalizations and the like and for certain issuances of Ordinary Shares and equity-linked securities for capital raising purposes in connection with the closing of our Business Combination as described elsewhere in this Annual Report) as well as the $11.50 Warrant exercise price after the redemption notice is issued.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Redemption procedures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If we call the Warrants for redemption as described above, our Management will have the option to require any holder that wishes to exercise his, her or its Warrant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Ordinary Shares issuable upon the exercise of our Warrants. If our Management takes advantage of this option, all holders of Warrants would pay the exercise price by surrendering their Warrants for that number of Ordinary Shares equal to the quotient obtained by dividing (x) the product of the number of Ordinary Shares underlying the Warrants, multiplied by the excess of the “fair market value” of our Ordinary Shares (defined below) over the exercise price of the Warrants by (y) the fair market value. The “fair market value” will mean the average closing price of the Ordinary Shares for the five trading days ending on the third trading day prior to the date on which the notice of redemption is sent to the holders of Warrants. If our Management takes advantage of this option, the notice of redemption will contain the information necessary to calculate the number of Ordinary Shares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Business Combination. If we call our Warrants for redemption and our Management does not take advantage of this option, the holders of the Private Placement Warrants and their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w:t>
      </w:r>
    </w:p>
    <w:p>
      <w:pPr>
        <w:spacing w:after="0" w:line="19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holder of a Warrant may notify us in writing if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Ordinary Shares outstanding immediately after giving effect to such exercise.</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the number of outstanding Ordinary Shares is increased by a share capitalization payable in Ordinary Shares, or by a split-up of common stock or other similar event, then, on the effective date of such share capitalization, split-up or similar event, the number of Ordinary Shares issuable on exercise of each Warrant will be increased in proportion to such increase in the outstanding shares of common stock. A Rights offering to holders of common stock entitling holders to purchase Ordinary Shares at a price less than the fair market value will be deemed a share capitalization of a number of Ordinary Shares equal to the product of (i) the number of Ordinary Shares actually sold in such Rights offering (or issuable under any other equity securities sold in such Rights offering that are convertible into or exercisable for Ordinary Shares) and (ii) the quotient of (x) the price per Ordinary Share paid in such Rights offering and (y) the fair market value. For these purposes (i)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and (ii) fair market value means the volume weighted average price of Ordinary Shares as reported during the five trading day period ending on the trading day prior to the first date on which the Ordinary Shares trades on the applicable exchange or in the applicable market, regular way, without the right to receive such Rights.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if we, at any time while the Warrants are outstanding and unexpired, pay a dividend or make a distribution in cash, securities or other assets to the holders of Ordinary Shares on account of such Ordinary Shares (or other securities into which the Warrants are convertible), other than (a) as described above, (b) certain ordinary cash dividends, (c) to satisfy the redemption rights of the holders of Ordinary Shares in connection with a proposed Business Combination, or (d) in connection with the redemption of our public shares upon our failure to complete our Business Combination, then the Warrant exercise price will be decreased, effective immediately after the effective date of such event, by the amount of cash and/or the fair market value of any securities or other assets paid on each Ordinary Share in respect of such event.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the number of outstanding Ordinary Shares is decreased by a consolidation, combination, reverse share split or reclassification of Ordinary Shares or other similar event, then, on the effective date of such consolidation, combination, reverse share split, reclassification or similar event, the number of Ordinary Shares issuable on exercise of each Warrant will be decreased in proportion to such decrease in the outstanding Ordinary Shares.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Whenever the number of Ordinary Shares purchasable upon the exercise of the Warrants is adjusted, as described above, the Warrant exercise price will be adjusted by multiplying the Warrant exercise price immediately prior to such adjustment by a fraction (x) the numerator of which will be the number of Ordinary Shares purchasable upon the exercise of the Warrants immediately prior to such adjustment, and (y) the denominator of which will be the number of Ordinary Shares so purchasable immediately thereafter.</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if (x) we issue additional Ordinary Shares or equity-linked securities for capital raising purposes in connection with the closing of our Business Combination at an issue price or effective issue price of less than $9.20 per Ordinary Share (with such issue price or effective issue price to be determined in good faith by our board of directors and, in the case of any such issuance to our Sponsor, initial stockholders or their affiliates, without taking into account any Founder Shares held by our Sponsor, initial stockholders or such affiliates, as applicable, prior to such issuance) (the “Newly Issued Price”), (y) the aggregate gross proceeds from such issuances represent more than 60% of the total equity proceeds, and interest thereon, available for the funding of our Business Combination on the date of the consummation of our Business Combination (net of redemptions), and (z) the volume weighted average trading price of our Ordinary Shares during the 20 trading day period starting on the trading day after the day on which we consummate our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below under “Redemption of Warrants” will be adjusted (to the nearest cent) to be equal to 118% of the higher of the Market Value and the Newly Issued Price.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Warrants have been issued in registered form under a warrant agreement between Continental Stock Transfer &amp; Trust Company, as warrant agent, and us. You should review a copy of the warrant agreement, which will be filed as an exhibit to the registration statement of which this Annual Report is a part, for a complete description of the terms and conditions applicable to the Warrants. The warrant agreement provides that the terms of the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of Public Warrants.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Ordinary Shares. After the issuance of Ordinary Shares upon exercise of the Warrants, each holder will be entitled to one vote for each share held of record on all matters to be voted on by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 Warrants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Private Placement Warrants (including the Ordinary Shares issuable upon exercise of the Private Placement Warrants) are not transferable, assignable or salable until 30 days after the completion of our Business Combination. The Private Placement Warrants have terms and provisions that are identical to those of the Warrants being sold as part of the units in RFAC’s Initial Public Offering, including as to exercise price, exercisability and exercise period.</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holders of Warrants (and Private Placement-equivalent Warrants) elect to exercise them on a cashless basis, they would pay the exercise price by surrendering their Warrants for that number of Ordinary Shares equal to the quotient obtained by dividing (x) the product of the number of Ordinary Shares underlying the Warrants, multiplied by the excess of the “fair market value” (defined below) of the Ordinary Shares over the exercise price of the Warrants by (y) the fair market value. The “fair market value” shall mean the average reported last sale price of the Ordinary Shares for the five trading days ending on the third trading day prior to the date on which the notice of Warrant exercise is sent to the warrant agent. We expect to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stockholders who could sell the Ordinary Shares issuable upon exercise of the Warrants freely in the open market, the insiders could be significantly restricted from doing so. As a result, we believe that allowing the holders to exercise such Warrants on a cashless basis is appropriate.</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order to finance transaction costs in connection with an intended Business Combination, our sponsor or an affiliate of our sponsor or certain of our officers and directors may, but are not obligated to, loan us funds as may be required. The terms of such working capital loans by our sponsor or its affiliates, or our officers and directors, if any, have not been determined and no written agreements exist with respect to such loans. In addition, holders of our Private Placement Warrants are entitled to certain registration rights.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April 3, 2025, we registered the Ordinary Shares issuable upon exercise of these Warrants on a Registration Statement on Form F-1 (File No. 333-265353) which was declared effective by the SEC on April 7,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OCBC Warrant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July 7, 2025, the Company issued to Oversea-Chinese Banking Corporation Limited (“OCBC”) certain Warrant to Purchase Ordinary Shares of GCL Global Holdings Ltd dated as of July 7, 2025 (the “OCBC Warrant”), in connection with that certain Facility Letter dated as of October 1, 2024, as supplemented by those certain Supplemental Letters dated as of March 12, 2025 and July 7, 2025, between the Holder and Epicsoft Asia Pte. Ltd. (the “Borrower”) which is a wholly-owned subsidiary of the Company for a financing of up to SGD5,000,000 (together, the “Facility Agreement”). On July 29, 2025, the Company and the OCBC entered into Amendment No. 1 to the Warrant (the “Amendment”) to clarify their commercial understanding that none of the terms of the OCBC Warrant shall have any legal effect on the Borrower and/or the Company unless and until the entire SGD 5,000,000 has been disbursed to the Borrower by the Holder under the Facility Agreement; and that the Holder will have no claims for penalties, damages and legal remedies of any kind against either the Company or the Borrower for non-performance of any obligations under the OCBC Warrant. The Amendment also provides that, among other things, until the full amount of SGD5,000,000 is disbursed by OCBC to the Borrower pursuant to the Facility Agreement, (i) the OCBC Warrant shall not be capable of exercise of any kind, and shall remain un-exercisable; and (ii) the Holder will have no rights to Piggyback Registration (as defined in the OCBC Warrant). Under the Amendment, the Company will have six months from the date the full amount of SGD5,000,000 is disbursed to file a registration statement for the public resale of all of the Warrant Shares (as defined in the OCBC Warrant).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left="4500"/>
        <w:spacing w:after="0"/>
        <w:rPr>
          <w:sz w:val="20"/>
          <w:szCs w:val="20"/>
          <w:color w:val="auto"/>
        </w:rPr>
      </w:pPr>
      <w:r>
        <w:rPr>
          <w:rFonts w:ascii="Times New Roman" w:cs="Times New Roman" w:eastAsia="Times New Roman" w:hAnsi="Times New Roman"/>
          <w:sz w:val="18"/>
          <w:szCs w:val="18"/>
          <w:b w:val="1"/>
          <w:bCs w:val="1"/>
          <w:color w:val="auto"/>
        </w:rPr>
        <w:t>SELLING SHAREHOLDER</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registering the Shares in order to permit the Selling Shareholder to offer the Shares for resale from time to time.</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table below lists the Selling Shareholder and other information regarding his beneficial ownership (as determined under Section 13(d) of the Securities Exchange Act of 1934, as amended, and the rules and regulations thereunder) of the ordinary shares held by each of the Selling Shareholder. The second column lists the number of ordinary shares beneficially owned by the Selling Shareholder, based on its ownership of ordinary shares and notes, as of June 9, 2026.</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third column lists the ordinary shares being offered by this prospectus by the Selling Shareholder.</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fourth column assumes the sale of all of the Shares offered by the Selling Shareholder pursuant to this prospectus.</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Selling Shareholder may sell all, some or none of their shares in this offering. See “Plan of Distribution.”</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 to</w:t>
            </w:r>
          </w:p>
        </w:tc>
        <w:tc>
          <w:tcPr>
            <w:tcW w:w="154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be Sold</w:t>
            </w:r>
          </w:p>
        </w:tc>
        <w:tc>
          <w:tcPr>
            <w:tcW w:w="254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4"/>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Owned Prior to</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254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Owned After</w:t>
            </w:r>
          </w:p>
        </w:tc>
      </w:tr>
      <w:tr>
        <w:trPr>
          <w:trHeight w:val="263"/>
        </w:trPr>
        <w:tc>
          <w:tcPr>
            <w:tcW w:w="4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4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2540" w:type="dxa"/>
            <w:vAlign w:val="bottom"/>
            <w:gridSpan w:val="5"/>
          </w:tcPr>
          <w:p>
            <w:pPr>
              <w:jc w:val="center"/>
              <w:ind w:right="100"/>
              <w:spacing w:after="0" w:line="256" w:lineRule="exact"/>
              <w:rPr>
                <w:sz w:val="20"/>
                <w:szCs w:val="20"/>
                <w:color w:val="auto"/>
              </w:rPr>
            </w:pPr>
            <w:r>
              <w:rPr>
                <w:rFonts w:ascii="Times New Roman" w:cs="Times New Roman" w:eastAsia="Times New Roman" w:hAnsi="Times New Roman"/>
                <w:sz w:val="18"/>
                <w:szCs w:val="18"/>
                <w:b w:val="1"/>
                <w:bCs w:val="1"/>
                <w:color w:val="auto"/>
                <w:w w:val="94"/>
              </w:rPr>
              <w:t xml:space="preserve">Offering </w:t>
            </w:r>
            <w:r>
              <w:rPr>
                <w:rFonts w:ascii="Times New Roman" w:cs="Times New Roman" w:eastAsia="Times New Roman" w:hAnsi="Times New Roman"/>
                <w:sz w:val="29"/>
                <w:szCs w:val="29"/>
                <w:b w:val="1"/>
                <w:bCs w:val="1"/>
                <w:color w:val="auto"/>
                <w:w w:val="94"/>
                <w:vertAlign w:val="superscript"/>
              </w:rPr>
              <w:t>(1)</w:t>
            </w:r>
          </w:p>
        </w:tc>
      </w:tr>
      <w:tr>
        <w:trPr>
          <w:trHeight w:val="223"/>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Selling Shareholder</w:t>
            </w:r>
          </w:p>
        </w:tc>
        <w:tc>
          <w:tcPr>
            <w:tcW w:w="12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80" w:type="dxa"/>
            <w:vAlign w:val="bottom"/>
            <w:tcBorders>
              <w:top w:val="single" w:sz="8" w:color="auto"/>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2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Borders>
              <w:bottom w:val="single" w:sz="8" w:color="CCEEFF"/>
            </w:tcBorders>
          </w:tcPr>
          <w:p>
            <w:pPr>
              <w:spacing w:after="0"/>
              <w:rPr>
                <w:sz w:val="19"/>
                <w:szCs w:val="19"/>
                <w:color w:val="auto"/>
              </w:rPr>
            </w:pPr>
          </w:p>
        </w:tc>
      </w:tr>
      <w:tr>
        <w:trPr>
          <w:trHeight w:val="256"/>
        </w:trPr>
        <w:tc>
          <w:tcPr>
            <w:tcW w:w="42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Teng Woo Boon</w:t>
            </w:r>
            <w:r>
              <w:rPr>
                <w:rFonts w:ascii="Times New Roman" w:cs="Times New Roman" w:eastAsia="Times New Roman" w:hAnsi="Times New Roman"/>
                <w:sz w:val="29"/>
                <w:szCs w:val="29"/>
                <w:color w:val="auto"/>
                <w:vertAlign w:val="superscript"/>
              </w:rPr>
              <w:t>(2)</w:t>
            </w:r>
          </w:p>
        </w:tc>
        <w:tc>
          <w:tcPr>
            <w:tcW w:w="12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625,000</w:t>
            </w:r>
          </w:p>
        </w:tc>
        <w:tc>
          <w:tcPr>
            <w:tcW w:w="2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1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Less than 1%.</w:t>
      </w:r>
    </w:p>
    <w:p>
      <w:pPr>
        <w:spacing w:after="0" w:line="144" w:lineRule="exact"/>
        <w:rPr>
          <w:sz w:val="20"/>
          <w:szCs w:val="20"/>
          <w:color w:val="auto"/>
        </w:rPr>
      </w:pPr>
    </w:p>
    <w:p>
      <w:pPr>
        <w:jc w:val="both"/>
        <w:ind w:left="340" w:hanging="332"/>
        <w:spacing w:after="0" w:line="258"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amount of ordinary shares that will be held by the Selling Shareholder after completion of this offering based on the assumptions that no other ordinary shares are acquired or sold by the Selling Shareholder prior to completion of this offering. However, the Selling Shareholder may sell all, some or none of such shares offered pursuant to this Prospectus and may sell other ordinary shares that they may own pursuant to another registration statement under the Securities Act or sell some or all of their shares pursuant to an exemption from the registration provisions of the Securities Act, including under Rule 144.</w:t>
      </w:r>
    </w:p>
    <w:p>
      <w:pPr>
        <w:spacing w:after="0" w:line="10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Teng Woo Boon’s address is c/o Ban Leong Technologies Pte. Ltd., 150,Ubi Avenue 4, #04-01, Singapore 408825.</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are registering the ordinary shares issuable upon conversion of the notes to permit the resale of these ordinary shares by the holders of the notes from time to time after the date of this prospectus. We will not receive any of the proceeds from the sale by the Selling Shareholder of the ordinary shares. We will bear all fees and expenses incident to our obligation to register the ordinary shares.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Selling Shareholder may sell all or a portion of the ordinary shares held by them and offered hereby from time to time directly or through one or more underwriters, broker-dealers or agents. If the ordinary shares are sold through underwriters or broker-dealers, the Selling Shareholder will be responsible for underwriting discounts or commissions or agent’s commissions. The ordinary shares may be sold in one or more transactions at fixed prices, at prevailing market prices at the time of the sale, at varying prices determined at the time of sale or at negotiated prices. These sales may be effected in transactions, which may involve crosses or block transactions, pursuant to one or more of the following methods:</w:t>
      </w:r>
    </w:p>
    <w:p>
      <w:pPr>
        <w:spacing w:after="0" w:line="210" w:lineRule="exact"/>
        <w:rPr>
          <w:sz w:val="20"/>
          <w:szCs w:val="20"/>
          <w:color w:val="auto"/>
        </w:rPr>
      </w:pPr>
    </w:p>
    <w:p>
      <w:pPr>
        <w:ind w:left="740" w:hanging="354"/>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national securities exchange or quotation service on which the securities may be listed or quoted at the time of sale;</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otherwise than on these exchanges or systems or in the over-the-counter market;</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whether such options are listed on an options exchange or otherwise;</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79" w:lineRule="exact"/>
        <w:rPr>
          <w:rFonts w:ascii="Times New Roman" w:cs="Times New Roman" w:eastAsia="Times New Roman" w:hAnsi="Times New Roman"/>
          <w:sz w:val="18"/>
          <w:szCs w:val="18"/>
          <w:color w:val="auto"/>
        </w:rPr>
      </w:pPr>
    </w:p>
    <w:p>
      <w:pPr>
        <w:ind w:left="740" w:right="40" w:hanging="354"/>
        <w:spacing w:after="0" w:line="282"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215"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made after the date the Registration Statement is declared effective by the SEC;</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a selling security holder to sell a specified number of such shares at a stipulated price per share;</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5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Selling Shareholder may also sell ordinary shares under Rule 144 promulgated under the Securities Act of 1933, as amended, if available, rather than under this prospectus. In addition, the Selling Shareholder may transfer the ordinary shares by other means not described in this prospectus. If the Selling Shareholder effect such transactions by selling ordinary shares to or through underwriters, broker-dealers or agents, such underwriters, broker-dealers or agents may receive commissions in the form of discounts, concessions or commissions from the Selling Shareholder or commissions from purchasers of the ordinary shares for whom they may act as agent or to whom they may sell as principal (which discounts, concessions or commissions as to particular underwriters, broker-dealers or agents may be in excess of those customary in the types of transactions involved). In connection with sales of the ordinary shares or otherwise, the Selling Shareholder may enter into hedging transactions with broker-dealers, which may in turn engage in short sales of the ordinary shares in the course of hedging in positions they assume. The Selling Shareholder may also sell ordinary shares short and deliver ordinary shares covered by this prospectus to close out short positions and to return borrowed shares in connection with such short sales. The Selling Shareholder may also loan or pledge ordinary shares to broker-dealers that in turn may sell such shares.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Selling Shareholder may pledge or grant a security interest in some or all of the notes or ordinary shares owned by them and, if they default in the performance of their secured obligations, the pledgees or secured parties may offer and sell the ordinary shares from time to time pursuant to this prospectus or any amendment to this prospectus under Rule 424(b)(3) or other applicable provision of the Securities Act amending, if necessary, the list of Selling Shareholder to include the pledgee, transferee or other successors in interest as Selling Shareholder under this prospectus. The Selling Shareholder also may transfer and donate the ordinary shares in other circumstances in which case the transferees, donees, pledgees or other successors in interest will be the selling beneficial owners for purposes of this prospectus.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To the extent required by the Securities Act and the rules and regulations thereunder, the Selling Shareholder and any broker-dealer participating in the distribution of the ordinary shares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ordinary shares is made, a prospectus supplement, if required, will be distributed, which will set forth the aggregate amount of ordinary shares being offered and the terms of the offering, including the name or names of any broker-dealers or agents, any discounts, commissions and other terms constituting compensation from the Selling Shareholder and any discounts, commissions or concessions allowed or re-allowed or paid to broker-dealers.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securities laws of some states, the ordinary shares may be sold in such states only through registered or licensed brokers or dealers. In addition, in some states the ordinary shares may not be sold unless such shares have been registered or qualified for sale in such state or an exemption from registration or qualification is available and is complied with.</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can be no assurance that the Selling Shareholder will sell any or all of the ordinary shares registered pursuant to the registration statement, of which this prospectus forms a part.</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Selling Shareholder and any other person participating in such distribution will be subject to applicable provisions of the Securities Exchange Act of 1934, as amended, and the rules and regulations thereunder, including, without limitation, to the extent applicable, Regulation M of the Exchange Act, which may limit the timing of purchases and sales of any of the ordinary shares by the Selling Shareholder and any other participating person. To the extent applicable, Regulation M may also restrict the ability of any person engaged in the distribution of the ordinary shares to engage in market-making activities with respect to the ordinary shares. All of the foregoing may affect the marketability of the ordinary shares and the ability of any person or entity to engage in market-making activities with respect to the ordinary shares.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will pay all expenses of the registration of the ordinary shares pursuant to the registration rights agreement, estimated to be $50,000 in total, including, without limitation, Securities and Exchange Commission filing fees and expenses of compliance with state securities or “blue sky” laws; provided, however, the Selling Shareholder will pay all underwriting discounts and selling commissions, if any. We will indemnify the Selling Shareholder against liabilities, including some liabilities under the Securities Act in accordance with the registration rights agreements or the Selling Shareholder will be entitled to contribution. We may be indemnified by the Selling Shareholder against civil liabilities, including liabilities under the Securities Act that may arise from any written information furnished to us by the Selling Shareholder specifically for use in this prospectus, in accordance with the related registration rights agreements or we may be entitled to contribution.</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Once sold under the registration statement, of which this prospectus forms a part, the ordinary shares will be freely tradable in the hands of persons other than our affiliates.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EXPENSES RELATING TO THIS OFFERING</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We estimate the following expenses in connection with the offer and resale of the Ordinary Shares by the Selling Shareholder. With the exception of the SEC registration fee, all amounts are estimates.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60" w:type="dxa"/>
            <w:vAlign w:val="bottom"/>
          </w:tcPr>
          <w:p>
            <w:pPr>
              <w:spacing w:after="0"/>
              <w:rPr>
                <w:sz w:val="21"/>
                <w:szCs w:val="21"/>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7,319.30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Accountants’ fees and expenses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 agent fees and expenses</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49"/>
        </w:trPr>
        <w:tc>
          <w:tcPr>
            <w:tcW w:w="10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expenses and miscellaneous costs</w:t>
            </w: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0"/>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w:t>
      </w:r>
    </w:p>
    <w:p>
      <w:pPr>
        <w:spacing w:after="0" w:line="227"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cannot be defined at this time.</w:t>
      </w:r>
    </w:p>
    <w:p>
      <w:pPr>
        <w:spacing w:after="0" w:line="22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have agreed to pay all expenses of registration incurred in connection with the resale of Ordinary Shares under this prospectus, except for any underwriting discounts, if any, selling commissions and stock transfer taxes applicable to the sale of Ordinary Shares by the Selling Shareholder, all of which are to be paid by the Selling Shareholder.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Certain legal matters relating to U.S. law will be passed upon for the Company by Loeb &amp; Loeb LLP. Certain Cayman Islands legal matters will be passed upon for the Company by Carey Olsen Singapore LLP.</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GCL Global Holdings Ltd as of March 31, 2025 and 2024, and for each of the three years in the period ended March 31, 2025, as incorporated by reference in this prospectus and elsewhere in the registration statement, have been so incorporated by reference in reliance on the report of Marcum Asia CPAs LLP, an independent registered public accounting firm, given on the authority of such firm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are subject to the periodic reporting and other information requirements of the Exchange Act as applicable to a “foreign private issuer,” and we file annual reports and other information from time to time with the SEC in accordance with such requirements. Our SEC filings will be available to the public on the internet at a website maintained by the SEC located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also maintain an Internet website at </w:t>
      </w:r>
      <w:r>
        <w:rPr>
          <w:rFonts w:ascii="Times New Roman" w:cs="Times New Roman" w:eastAsia="Times New Roman" w:hAnsi="Times New Roman"/>
          <w:sz w:val="18"/>
          <w:szCs w:val="18"/>
          <w:i w:val="1"/>
          <w:iCs w:val="1"/>
          <w:color w:val="auto"/>
        </w:rPr>
        <w:t>https://www.gclglobalholdings.com</w:t>
      </w:r>
      <w:r>
        <w:rPr>
          <w:rFonts w:ascii="Times New Roman" w:cs="Times New Roman" w:eastAsia="Times New Roman" w:hAnsi="Times New Roman"/>
          <w:sz w:val="18"/>
          <w:szCs w:val="18"/>
          <w:color w:val="auto"/>
        </w:rPr>
        <w:t>. Through our website, we make available, free of charge, the following documents as soon as reasonably practicable after they are electronically filed with, or furnished to, the SEC: our Annual Reports on Form 20-F; our reports on Form 6-K; amendments to these documents; and other information as may be required by the SEC. The information contained on, or that may be accessed through, our website is not part of, and is not incorporated into, this prospectus.</w:t>
      </w:r>
    </w:p>
    <w:p>
      <w:pPr>
        <w:spacing w:after="0" w:line="18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officers, directors and principal shareholders are exempt from the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r>
        <w:rPr>
          <w:rFonts w:ascii="Times New Roman" w:cs="Times New Roman" w:eastAsia="Times New Roman" w:hAnsi="Times New Roman"/>
          <w:sz w:val="18"/>
          <w:szCs w:val="18"/>
          <w:i w:val="1"/>
          <w:iCs w:val="1"/>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registration statement incorporates by reference important information about the Company that is not included in or delivered with this document. 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incorporate by reference into this prospectus the following documents:</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20-F for the year ended March 31, 2025 filed with the SEC on </w:t>
      </w:r>
      <w:hyperlink r:id="rId40">
        <w:r>
          <w:rPr>
            <w:rFonts w:ascii="Times New Roman" w:cs="Times New Roman" w:eastAsia="Times New Roman" w:hAnsi="Times New Roman"/>
            <w:sz w:val="18"/>
            <w:szCs w:val="18"/>
            <w:u w:val="single" w:color="auto"/>
            <w:color w:val="0000EE"/>
          </w:rPr>
          <w:t>July 31, 2025</w:t>
        </w:r>
      </w:hyperlink>
      <w:r>
        <w:rPr>
          <w:rFonts w:ascii="Times New Roman" w:cs="Times New Roman" w:eastAsia="Times New Roman" w:hAnsi="Times New Roman"/>
          <w:sz w:val="18"/>
          <w:szCs w:val="18"/>
          <w:color w:val="auto"/>
        </w:rPr>
        <w:t xml:space="preserve">, as amended on </w:t>
      </w:r>
      <w:hyperlink r:id="rId41">
        <w:r>
          <w:rPr>
            <w:rFonts w:ascii="Times New Roman" w:cs="Times New Roman" w:eastAsia="Times New Roman" w:hAnsi="Times New Roman"/>
            <w:sz w:val="18"/>
            <w:szCs w:val="18"/>
            <w:u w:val="single" w:color="auto"/>
            <w:color w:val="0000EE"/>
          </w:rPr>
          <w:t>April 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2">
        <w:r>
          <w:rPr>
            <w:rFonts w:ascii="Times New Roman" w:cs="Times New Roman" w:eastAsia="Times New Roman" w:hAnsi="Times New Roman"/>
            <w:sz w:val="18"/>
            <w:szCs w:val="18"/>
            <w:u w:val="single" w:color="auto"/>
            <w:color w:val="0000EE"/>
          </w:rPr>
          <w:t>May 4, 2026</w:t>
        </w:r>
      </w:hyperlink>
      <w:r>
        <w:rPr>
          <w:rFonts w:ascii="Times New Roman" w:cs="Times New Roman" w:eastAsia="Times New Roman" w:hAnsi="Times New Roman"/>
          <w:sz w:val="18"/>
          <w:szCs w:val="18"/>
          <w:color w:val="auto"/>
        </w:rPr>
        <w:t>;</w:t>
      </w:r>
    </w:p>
    <w:p>
      <w:pPr>
        <w:spacing w:after="0" w:line="279" w:lineRule="exact"/>
        <w:rPr>
          <w:rFonts w:ascii="Times New Roman" w:cs="Times New Roman" w:eastAsia="Times New Roman" w:hAnsi="Times New Roman"/>
          <w:sz w:val="18"/>
          <w:szCs w:val="18"/>
          <w:color w:val="auto"/>
        </w:rPr>
      </w:pPr>
    </w:p>
    <w:p>
      <w:pPr>
        <w:ind w:left="660" w:hanging="328"/>
        <w:spacing w:after="0" w:line="278" w:lineRule="auto"/>
        <w:tabs>
          <w:tab w:leader="none" w:pos="660" w:val="left"/>
        </w:tabs>
        <w:numPr>
          <w:ilvl w:val="0"/>
          <w:numId w:val="12"/>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Current Reports on Form 6-K furnished to the SEC on </w:t>
      </w:r>
      <w:hyperlink r:id="rId43">
        <w:r>
          <w:rPr>
            <w:rFonts w:ascii="Times New Roman" w:cs="Times New Roman" w:eastAsia="Times New Roman" w:hAnsi="Times New Roman"/>
            <w:sz w:val="18"/>
            <w:szCs w:val="18"/>
            <w:u w:val="single" w:color="auto"/>
            <w:color w:val="0000FF"/>
          </w:rPr>
          <w:t>August 25</w:t>
        </w:r>
      </w:hyperlink>
      <w:r>
        <w:rPr>
          <w:rFonts w:ascii="Times New Roman" w:cs="Times New Roman" w:eastAsia="Times New Roman" w:hAnsi="Times New Roman"/>
          <w:sz w:val="18"/>
          <w:szCs w:val="18"/>
          <w:color w:val="auto"/>
        </w:rPr>
        <w:t xml:space="preserve">, </w:t>
      </w:r>
      <w:hyperlink r:id="rId44">
        <w:r>
          <w:rPr>
            <w:rFonts w:ascii="Times New Roman" w:cs="Times New Roman" w:eastAsia="Times New Roman" w:hAnsi="Times New Roman"/>
            <w:sz w:val="18"/>
            <w:szCs w:val="18"/>
            <w:u w:val="single" w:color="auto"/>
            <w:color w:val="0000FF"/>
          </w:rPr>
          <w:t>27</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5">
        <w:r>
          <w:rPr>
            <w:rFonts w:ascii="Times New Roman" w:cs="Times New Roman" w:eastAsia="Times New Roman" w:hAnsi="Times New Roman"/>
            <w:sz w:val="18"/>
            <w:szCs w:val="18"/>
            <w:u w:val="single" w:color="auto"/>
            <w:color w:val="0000FF"/>
          </w:rPr>
          <w:t>29</w:t>
        </w:r>
      </w:hyperlink>
      <w:r>
        <w:rPr>
          <w:rFonts w:ascii="Times New Roman" w:cs="Times New Roman" w:eastAsia="Times New Roman" w:hAnsi="Times New Roman"/>
          <w:sz w:val="18"/>
          <w:szCs w:val="18"/>
          <w:color w:val="auto"/>
        </w:rPr>
        <w:t xml:space="preserve">, </w:t>
      </w:r>
      <w:hyperlink r:id="rId46">
        <w:r>
          <w:rPr>
            <w:rFonts w:ascii="Times New Roman" w:cs="Times New Roman" w:eastAsia="Times New Roman" w:hAnsi="Times New Roman"/>
            <w:sz w:val="18"/>
            <w:szCs w:val="18"/>
            <w:u w:val="single" w:color="auto"/>
            <w:color w:val="0000FF"/>
          </w:rPr>
          <w:t>September 5</w:t>
        </w:r>
      </w:hyperlink>
      <w:r>
        <w:rPr>
          <w:rFonts w:ascii="Times New Roman" w:cs="Times New Roman" w:eastAsia="Times New Roman" w:hAnsi="Times New Roman"/>
          <w:sz w:val="18"/>
          <w:szCs w:val="18"/>
          <w:color w:val="auto"/>
        </w:rPr>
        <w:t xml:space="preserve">, </w:t>
      </w:r>
      <w:hyperlink r:id="rId47">
        <w:r>
          <w:rPr>
            <w:rFonts w:ascii="Times New Roman" w:cs="Times New Roman" w:eastAsia="Times New Roman" w:hAnsi="Times New Roman"/>
            <w:sz w:val="18"/>
            <w:szCs w:val="18"/>
            <w:u w:val="single" w:color="auto"/>
            <w:color w:val="0000FF"/>
          </w:rPr>
          <w:t>9</w:t>
        </w:r>
      </w:hyperlink>
      <w:r>
        <w:rPr>
          <w:rFonts w:ascii="Times New Roman" w:cs="Times New Roman" w:eastAsia="Times New Roman" w:hAnsi="Times New Roman"/>
          <w:sz w:val="18"/>
          <w:szCs w:val="18"/>
          <w:color w:val="auto"/>
        </w:rPr>
        <w:t xml:space="preserve">, </w:t>
      </w:r>
      <w:hyperlink r:id="rId48">
        <w:r>
          <w:rPr>
            <w:rFonts w:ascii="Times New Roman" w:cs="Times New Roman" w:eastAsia="Times New Roman" w:hAnsi="Times New Roman"/>
            <w:sz w:val="18"/>
            <w:szCs w:val="18"/>
            <w:u w:val="single" w:color="auto"/>
            <w:color w:val="0000FF"/>
          </w:rPr>
          <w:t>11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9">
        <w:r>
          <w:rPr>
            <w:rFonts w:ascii="Times New Roman" w:cs="Times New Roman" w:eastAsia="Times New Roman" w:hAnsi="Times New Roman"/>
            <w:sz w:val="18"/>
            <w:szCs w:val="18"/>
            <w:u w:val="single" w:color="auto"/>
            <w:color w:val="0000FF"/>
          </w:rPr>
          <w:t>15</w:t>
        </w:r>
      </w:hyperlink>
      <w:r>
        <w:rPr>
          <w:rFonts w:ascii="Times New Roman" w:cs="Times New Roman" w:eastAsia="Times New Roman" w:hAnsi="Times New Roman"/>
          <w:sz w:val="18"/>
          <w:szCs w:val="18"/>
          <w:color w:val="auto"/>
        </w:rPr>
        <w:t xml:space="preserve">, </w:t>
      </w:r>
      <w:hyperlink r:id="rId50">
        <w:r>
          <w:rPr>
            <w:rFonts w:ascii="Times New Roman" w:cs="Times New Roman" w:eastAsia="Times New Roman" w:hAnsi="Times New Roman"/>
            <w:sz w:val="18"/>
            <w:szCs w:val="18"/>
            <w:u w:val="single" w:color="auto"/>
            <w:color w:val="0000FF"/>
          </w:rPr>
          <w:t>October 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1">
        <w:r>
          <w:rPr>
            <w:rFonts w:ascii="Times New Roman" w:cs="Times New Roman" w:eastAsia="Times New Roman" w:hAnsi="Times New Roman"/>
            <w:sz w:val="18"/>
            <w:szCs w:val="18"/>
            <w:u w:val="single" w:color="auto"/>
            <w:color w:val="0000FF"/>
          </w:rPr>
          <w:t>16</w:t>
        </w:r>
      </w:hyperlink>
      <w:r>
        <w:rPr>
          <w:rFonts w:ascii="Times New Roman" w:cs="Times New Roman" w:eastAsia="Times New Roman" w:hAnsi="Times New Roman"/>
          <w:sz w:val="18"/>
          <w:szCs w:val="18"/>
          <w:color w:val="auto"/>
        </w:rPr>
        <w:t xml:space="preserve">, </w:t>
      </w:r>
      <w:hyperlink r:id="rId52">
        <w:r>
          <w:rPr>
            <w:rFonts w:ascii="Times New Roman" w:cs="Times New Roman" w:eastAsia="Times New Roman" w:hAnsi="Times New Roman"/>
            <w:sz w:val="18"/>
            <w:szCs w:val="18"/>
            <w:u w:val="single" w:color="auto"/>
            <w:color w:val="0000FF"/>
          </w:rPr>
          <w:t>November 25</w:t>
        </w:r>
      </w:hyperlink>
      <w:r>
        <w:rPr>
          <w:rFonts w:ascii="Times New Roman" w:cs="Times New Roman" w:eastAsia="Times New Roman" w:hAnsi="Times New Roman"/>
          <w:sz w:val="18"/>
          <w:szCs w:val="18"/>
          <w:color w:val="auto"/>
        </w:rPr>
        <w:t xml:space="preserve">, </w:t>
      </w:r>
      <w:hyperlink r:id="rId53">
        <w:r>
          <w:rPr>
            <w:rFonts w:ascii="Times New Roman" w:cs="Times New Roman" w:eastAsia="Times New Roman" w:hAnsi="Times New Roman"/>
            <w:sz w:val="18"/>
            <w:szCs w:val="18"/>
            <w:u w:val="single" w:color="auto"/>
            <w:color w:val="0000FF"/>
          </w:rPr>
          <w:t>December 2</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hyperlink r:id="rId54">
        <w:r>
          <w:rPr>
            <w:rFonts w:ascii="Times New Roman" w:cs="Times New Roman" w:eastAsia="Times New Roman" w:hAnsi="Times New Roman"/>
            <w:sz w:val="18"/>
            <w:szCs w:val="18"/>
            <w:u w:val="single" w:color="auto"/>
            <w:color w:val="0000FF"/>
          </w:rPr>
          <w:t>4, 2025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r:id="rId55">
        <w:r>
          <w:rPr>
            <w:rFonts w:ascii="Times New Roman" w:cs="Times New Roman" w:eastAsia="Times New Roman" w:hAnsi="Times New Roman"/>
            <w:sz w:val="18"/>
            <w:szCs w:val="18"/>
            <w:u w:val="single" w:color="auto"/>
            <w:color w:val="0000FF"/>
          </w:rPr>
          <w:t>January 30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r:id="rId56">
        <w:r>
          <w:rPr>
            <w:rFonts w:ascii="Times New Roman" w:cs="Times New Roman" w:eastAsia="Times New Roman" w:hAnsi="Times New Roman"/>
            <w:sz w:val="18"/>
            <w:szCs w:val="18"/>
            <w:u w:val="single" w:color="auto"/>
            <w:color w:val="0000FF"/>
          </w:rPr>
          <w:t>March 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r:id="rId57">
        <w:r>
          <w:rPr>
            <w:rFonts w:ascii="Times New Roman" w:cs="Times New Roman" w:eastAsia="Times New Roman" w:hAnsi="Times New Roman"/>
            <w:sz w:val="18"/>
            <w:szCs w:val="18"/>
            <w:u w:val="single" w:color="auto"/>
            <w:color w:val="0000FF"/>
          </w:rPr>
          <w:t>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r:id="rId58">
        <w:r>
          <w:rPr>
            <w:rFonts w:ascii="Times New Roman" w:cs="Times New Roman" w:eastAsia="Times New Roman" w:hAnsi="Times New Roman"/>
            <w:sz w:val="18"/>
            <w:szCs w:val="18"/>
            <w:u w:val="single" w:color="auto"/>
            <w:color w:val="0000FF"/>
          </w:rPr>
          <w:t xml:space="preserve">30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hyperlink r:id="rId59">
        <w:r>
          <w:rPr>
            <w:rFonts w:ascii="Times New Roman" w:cs="Times New Roman" w:eastAsia="Times New Roman" w:hAnsi="Times New Roman"/>
            <w:sz w:val="18"/>
            <w:szCs w:val="18"/>
            <w:u w:val="single" w:color="auto"/>
            <w:color w:val="0000FF"/>
          </w:rPr>
          <w:t>31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hyperlink r:id="rId60">
        <w:r>
          <w:rPr>
            <w:rFonts w:ascii="Times New Roman" w:cs="Times New Roman" w:eastAsia="Times New Roman" w:hAnsi="Times New Roman"/>
            <w:sz w:val="18"/>
            <w:szCs w:val="18"/>
            <w:u w:val="single" w:color="auto"/>
            <w:color w:val="0000FF"/>
          </w:rPr>
          <w:t>April 14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r:id="rId61">
        <w:r>
          <w:rPr>
            <w:rFonts w:ascii="Times New Roman" w:cs="Times New Roman" w:eastAsia="Times New Roman" w:hAnsi="Times New Roman"/>
            <w:sz w:val="18"/>
            <w:szCs w:val="18"/>
            <w:u w:val="single" w:color="auto"/>
            <w:color w:val="0000FF"/>
          </w:rPr>
          <w:t>29</w:t>
        </w:r>
      </w:hyperlink>
      <w:r>
        <w:rPr>
          <w:rFonts w:ascii="Calibri" w:cs="Calibri" w:eastAsia="Calibri" w:hAnsi="Calibri"/>
          <w:sz w:val="21"/>
          <w:szCs w:val="21"/>
          <w:color w:val="000000"/>
        </w:rPr>
        <w:t>,</w:t>
      </w:r>
      <w:r>
        <w:rPr>
          <w:rFonts w:ascii="Times New Roman" w:cs="Times New Roman" w:eastAsia="Times New Roman" w:hAnsi="Times New Roman"/>
          <w:sz w:val="18"/>
          <w:szCs w:val="18"/>
          <w:color w:val="0000FF"/>
        </w:rPr>
        <w:t xml:space="preserve"> </w:t>
      </w:r>
      <w:hyperlink r:id="rId62">
        <w:r>
          <w:rPr>
            <w:rFonts w:ascii="Times New Roman" w:cs="Times New Roman" w:eastAsia="Times New Roman" w:hAnsi="Times New Roman"/>
            <w:sz w:val="18"/>
            <w:szCs w:val="18"/>
            <w:u w:val="single" w:color="auto"/>
            <w:color w:val="0000EE"/>
          </w:rPr>
          <w:t>May 19</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hyperlink r:id="rId63">
        <w:r>
          <w:rPr>
            <w:rFonts w:ascii="Times New Roman" w:cs="Times New Roman" w:eastAsia="Times New Roman" w:hAnsi="Times New Roman"/>
            <w:sz w:val="18"/>
            <w:szCs w:val="18"/>
            <w:u w:val="single" w:color="auto"/>
            <w:color w:val="0000EE"/>
          </w:rPr>
          <w:t>May 26, 2026</w:t>
        </w:r>
      </w:hyperlink>
      <w:r>
        <w:rPr>
          <w:rFonts w:ascii="Times New Roman" w:cs="Times New Roman" w:eastAsia="Times New Roman" w:hAnsi="Times New Roman"/>
          <w:sz w:val="18"/>
          <w:szCs w:val="18"/>
          <w:color w:val="000000"/>
        </w:rPr>
        <w:t>;</w:t>
      </w:r>
    </w:p>
    <w:p>
      <w:pPr>
        <w:spacing w:after="0" w:line="192" w:lineRule="exact"/>
        <w:rPr>
          <w:rFonts w:ascii="Times New Roman" w:cs="Times New Roman" w:eastAsia="Times New Roman" w:hAnsi="Times New Roman"/>
          <w:sz w:val="18"/>
          <w:szCs w:val="18"/>
          <w:color w:val="0000FF"/>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Ordinary Shares contained in our Registration Statement on </w:t>
      </w:r>
      <w:hyperlink r:id="rId64">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February 13, 2025, including any amendments or reports filed for the purpose of updating the description;</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annual reports on Form 20-F filed with the SEC after the date of this prospectus and prior to the termination of the offering of the securities offered by this prospectus;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reports on Form 6-K that we furnish to the SEC after the date of this prospectus that are identified in such reports as being incorporated by reference into the registration statement of which this prospectus forms a part.</w:t>
      </w:r>
    </w:p>
    <w:p>
      <w:pPr>
        <w:spacing w:after="0" w:line="189" w:lineRule="exact"/>
        <w:rPr>
          <w:rFonts w:ascii="Times New Roman" w:cs="Times New Roman" w:eastAsia="Times New Roman" w:hAnsi="Times New Roman"/>
          <w:sz w:val="18"/>
          <w:szCs w:val="18"/>
          <w:color w:val="0000FF"/>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filings with the SEC, including annual reports on Form 20-F and current reports on Form 6-K and amendments to those reports, are available electronically on the SEC’s website at www.sec.gov. 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spacing w:after="0" w:line="180" w:lineRule="exact"/>
        <w:rPr>
          <w:rFonts w:ascii="Times New Roman" w:cs="Times New Roman" w:eastAsia="Times New Roman" w:hAnsi="Times New Roman"/>
          <w:sz w:val="18"/>
          <w:szCs w:val="18"/>
          <w:color w:val="0000FF"/>
        </w:rPr>
      </w:pPr>
    </w:p>
    <w:p>
      <w:pPr>
        <w:ind w:left="4700"/>
        <w:spacing w:after="0"/>
        <w:rPr>
          <w:sz w:val="20"/>
          <w:szCs w:val="20"/>
          <w:color w:val="auto"/>
        </w:rPr>
      </w:pPr>
      <w:r>
        <w:rPr>
          <w:rFonts w:ascii="Times New Roman" w:cs="Times New Roman" w:eastAsia="Times New Roman" w:hAnsi="Times New Roman"/>
          <w:sz w:val="18"/>
          <w:szCs w:val="18"/>
          <w:color w:val="auto"/>
        </w:rPr>
        <w:t>Group Chief Financial Officer</w:t>
      </w:r>
    </w:p>
    <w:p>
      <w:pPr>
        <w:spacing w:after="0" w:line="27" w:lineRule="exact"/>
        <w:rPr>
          <w:rFonts w:ascii="Times New Roman" w:cs="Times New Roman" w:eastAsia="Times New Roman" w:hAnsi="Times New Roman"/>
          <w:sz w:val="18"/>
          <w:szCs w:val="18"/>
          <w:color w:val="0000FF"/>
        </w:rPr>
      </w:pPr>
    </w:p>
    <w:p>
      <w:pPr>
        <w:ind w:left="4840"/>
        <w:spacing w:after="0"/>
        <w:rPr>
          <w:sz w:val="20"/>
          <w:szCs w:val="20"/>
          <w:color w:val="auto"/>
        </w:rPr>
      </w:pPr>
      <w:r>
        <w:rPr>
          <w:rFonts w:ascii="Times New Roman" w:cs="Times New Roman" w:eastAsia="Times New Roman" w:hAnsi="Times New Roman"/>
          <w:sz w:val="18"/>
          <w:szCs w:val="18"/>
          <w:color w:val="auto"/>
        </w:rPr>
        <w:t>GCL Global Holdings Ltd</w:t>
      </w:r>
    </w:p>
    <w:p>
      <w:pPr>
        <w:spacing w:after="0" w:line="9" w:lineRule="exact"/>
        <w:rPr>
          <w:rFonts w:ascii="Times New Roman" w:cs="Times New Roman" w:eastAsia="Times New Roman" w:hAnsi="Times New Roman"/>
          <w:sz w:val="18"/>
          <w:szCs w:val="18"/>
          <w:color w:val="0000FF"/>
        </w:rPr>
      </w:pPr>
    </w:p>
    <w:p>
      <w:pPr>
        <w:ind w:left="4780"/>
        <w:spacing w:after="0"/>
        <w:rPr>
          <w:sz w:val="20"/>
          <w:szCs w:val="20"/>
          <w:color w:val="auto"/>
        </w:rPr>
      </w:pPr>
      <w:r>
        <w:rPr>
          <w:rFonts w:ascii="Times New Roman" w:cs="Times New Roman" w:eastAsia="Times New Roman" w:hAnsi="Times New Roman"/>
          <w:sz w:val="18"/>
          <w:szCs w:val="18"/>
          <w:color w:val="auto"/>
        </w:rPr>
        <w:t>29 Tai Seng Avenue #02-01</w:t>
      </w:r>
    </w:p>
    <w:p>
      <w:pPr>
        <w:spacing w:after="0" w:line="9" w:lineRule="exact"/>
        <w:rPr>
          <w:rFonts w:ascii="Times New Roman" w:cs="Times New Roman" w:eastAsia="Times New Roman" w:hAnsi="Times New Roman"/>
          <w:sz w:val="18"/>
          <w:szCs w:val="18"/>
          <w:color w:val="0000FF"/>
        </w:rPr>
      </w:pPr>
    </w:p>
    <w:p>
      <w:pPr>
        <w:ind w:left="4800"/>
        <w:spacing w:after="0"/>
        <w:rPr>
          <w:sz w:val="20"/>
          <w:szCs w:val="20"/>
          <w:color w:val="auto"/>
        </w:rPr>
      </w:pPr>
      <w:r>
        <w:rPr>
          <w:rFonts w:ascii="Times New Roman" w:cs="Times New Roman" w:eastAsia="Times New Roman" w:hAnsi="Times New Roman"/>
          <w:sz w:val="18"/>
          <w:szCs w:val="18"/>
          <w:color w:val="auto"/>
        </w:rPr>
        <w:t>Natural Cool Lifestyle Hub</w:t>
      </w:r>
    </w:p>
    <w:p>
      <w:pPr>
        <w:spacing w:after="0" w:line="9" w:lineRule="exact"/>
        <w:rPr>
          <w:rFonts w:ascii="Times New Roman" w:cs="Times New Roman" w:eastAsia="Times New Roman" w:hAnsi="Times New Roman"/>
          <w:sz w:val="18"/>
          <w:szCs w:val="18"/>
          <w:color w:val="0000FF"/>
        </w:rPr>
      </w:pPr>
    </w:p>
    <w:p>
      <w:pPr>
        <w:ind w:left="5140"/>
        <w:spacing w:after="0"/>
        <w:rPr>
          <w:sz w:val="20"/>
          <w:szCs w:val="20"/>
          <w:color w:val="auto"/>
        </w:rPr>
      </w:pPr>
      <w:r>
        <w:rPr>
          <w:rFonts w:ascii="Times New Roman" w:cs="Times New Roman" w:eastAsia="Times New Roman" w:hAnsi="Times New Roman"/>
          <w:sz w:val="18"/>
          <w:szCs w:val="18"/>
          <w:color w:val="auto"/>
        </w:rPr>
        <w:t>Singapore 534119</w:t>
      </w:r>
    </w:p>
    <w:p>
      <w:pPr>
        <w:spacing w:after="0" w:line="9" w:lineRule="exact"/>
        <w:rPr>
          <w:rFonts w:ascii="Times New Roman" w:cs="Times New Roman" w:eastAsia="Times New Roman" w:hAnsi="Times New Roman"/>
          <w:sz w:val="18"/>
          <w:szCs w:val="18"/>
          <w:color w:val="0000FF"/>
        </w:rPr>
      </w:pPr>
    </w:p>
    <w:p>
      <w:pPr>
        <w:ind w:left="4940"/>
        <w:spacing w:after="0"/>
        <w:rPr>
          <w:sz w:val="20"/>
          <w:szCs w:val="20"/>
          <w:color w:val="auto"/>
        </w:rPr>
      </w:pPr>
      <w:r>
        <w:rPr>
          <w:rFonts w:ascii="Times New Roman" w:cs="Times New Roman" w:eastAsia="Times New Roman" w:hAnsi="Times New Roman"/>
          <w:sz w:val="18"/>
          <w:szCs w:val="18"/>
          <w:color w:val="auto"/>
        </w:rPr>
        <w:t>Tel: +65 80427330</w:t>
      </w:r>
    </w:p>
    <w:p>
      <w:pPr>
        <w:spacing w:after="0" w:line="207" w:lineRule="exact"/>
        <w:rPr>
          <w:rFonts w:ascii="Times New Roman" w:cs="Times New Roman" w:eastAsia="Times New Roman" w:hAnsi="Times New Roman"/>
          <w:sz w:val="18"/>
          <w:szCs w:val="18"/>
          <w:color w:val="0000FF"/>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that we incorporate by reference or provide in this prospectus or any supplement or amendment hereto. We have not authorized anyone to provide you with different information. We are not making any offer to sell these securities in any jurisdiction where the offer or sale is not permitted. You should not assume that the information contained or incorporated by reference in this prospectus or any supplement or amendment hereto is accurate as of any date other than the date of the document containing the information.</w:t>
      </w:r>
    </w:p>
    <w:p>
      <w:pPr>
        <w:spacing w:after="0" w:line="396" w:lineRule="exact"/>
        <w:rPr>
          <w:rFonts w:ascii="Times New Roman" w:cs="Times New Roman" w:eastAsia="Times New Roman" w:hAnsi="Times New Roman"/>
          <w:sz w:val="18"/>
          <w:szCs w:val="18"/>
          <w:color w:val="0000FF"/>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65" Type="http://schemas.openxmlformats.org/officeDocument/2006/relationships/image" Target="media/image33.png"/><Relationship Id="rId40" Type="http://schemas.openxmlformats.org/officeDocument/2006/relationships/hyperlink" Target="http://www.sec.gov/ix?doc=/Archives/edgar/data/2002045/000121390025069672/ea0246480-20f_gclglobal.htm" TargetMode="External"/><Relationship Id="rId41" Type="http://schemas.openxmlformats.org/officeDocument/2006/relationships/hyperlink" Target="http://www.sec.gov/ix?doc=/Archives/edgar/data/2002045/000121390026041993/ea0277205-20fa1_gclglob.htm" TargetMode="External"/><Relationship Id="rId42" Type="http://schemas.openxmlformats.org/officeDocument/2006/relationships/hyperlink" Target="http://www.sec.gov/ix?doc=/Archives/edgar/data/2002045/000121390026051630/ea0288654-20fa2_gclglob.htm" TargetMode="External"/><Relationship Id="rId43" Type="http://schemas.openxmlformats.org/officeDocument/2006/relationships/hyperlink" Target="http://www.sec.gov/Archives/edgar/data/2002045/000121390025080124/ea0254434-6k_gclglobal.htm" TargetMode="External"/><Relationship Id="rId44" Type="http://schemas.openxmlformats.org/officeDocument/2006/relationships/hyperlink" Target="http://www.sec.gov/ix?doc=/Archives/edgar/data/2002045/000121390025081124/ea0254747-6k_gclglobal.htm" TargetMode="External"/><Relationship Id="rId45" Type="http://schemas.openxmlformats.org/officeDocument/2006/relationships/hyperlink" Target="http://www.sec.gov/Archives/edgar/data/2002045/000121390025082042/ea0255000-6k_gclglobal.htm" TargetMode="External"/><Relationship Id="rId46" Type="http://schemas.openxmlformats.org/officeDocument/2006/relationships/hyperlink" Target="http://www.sec.gov/Archives/edgar/data/2002045/000121390025085159/ea0256240-6k_gclglobal.htm" TargetMode="External"/><Relationship Id="rId47" Type="http://schemas.openxmlformats.org/officeDocument/2006/relationships/hyperlink" Target="http://www.sec.gov/Archives/edgar/data/2002045/000121390025086276/ea0256568-6k_gclglobal.htm" TargetMode="External"/><Relationship Id="rId48" Type="http://schemas.openxmlformats.org/officeDocument/2006/relationships/hyperlink" Target="http://www.sec.gov/Archives/edgar/data/2002045/000121390025086685/ea0256965-6k_gclglobal.htm" TargetMode="External"/><Relationship Id="rId49" Type="http://schemas.openxmlformats.org/officeDocument/2006/relationships/hyperlink" Target="http://www.sec.gov/Archives/edgar/data/2002045/000121390025087392/ea0257293-6k_gclglobal.htm" TargetMode="External"/><Relationship Id="rId50" Type="http://schemas.openxmlformats.org/officeDocument/2006/relationships/hyperlink" Target="http://www.sec.gov/Archives/edgar/data/2002045/000121390025098118/ea0260917-6k_gclglobal.htm" TargetMode="External"/><Relationship Id="rId51" Type="http://schemas.openxmlformats.org/officeDocument/2006/relationships/hyperlink" Target="http://www.sec.gov/Archives/edgar/data/2002045/000121390025099537/ea0261511-6k_gclglobal.htm" TargetMode="External"/><Relationship Id="rId52" Type="http://schemas.openxmlformats.org/officeDocument/2006/relationships/hyperlink" Target="http://www.sec.gov/Archives/edgar/data/2002045/000121390025114439/ea0267129-6k_gclglobal.htm" TargetMode="External"/><Relationship Id="rId53" Type="http://schemas.openxmlformats.org/officeDocument/2006/relationships/hyperlink" Target="http://www.sec.gov/Archives/edgar/data/2002045/000121390025117237/ea0268118-6k_gcl.htm" TargetMode="External"/><Relationship Id="rId54" Type="http://schemas.openxmlformats.org/officeDocument/2006/relationships/hyperlink" Target="http://www.sec.gov/Archives/edgar/data/2002045/000121390025118045/ea0268389-6k_gcl.htm" TargetMode="External"/><Relationship Id="rId55" Type="http://schemas.openxmlformats.org/officeDocument/2006/relationships/hyperlink" Target="http://www.sec.gov/ix?doc=/Archives/edgar/data/2002045/000121390026009911/ea0271723-6k_gcl.htm" TargetMode="External"/><Relationship Id="rId56" Type="http://schemas.openxmlformats.org/officeDocument/2006/relationships/hyperlink" Target="http://www.sec.gov/Archives/edgar/data/2002045/000121390026032630/ea0282778-6k_gclglobal.htm" TargetMode="External"/><Relationship Id="rId57" Type="http://schemas.openxmlformats.org/officeDocument/2006/relationships/hyperlink" Target="http://www.sec.gov/Archives/edgar/data/2002045/000121390026034371/ea0283525-6k_gclglobal.htm" TargetMode="External"/><Relationship Id="rId58" Type="http://schemas.openxmlformats.org/officeDocument/2006/relationships/hyperlink" Target="http://www.sec.gov/Archives/edgar/data/2002045/000121390026036405/ea0283829-6k_gclglobal.htm" TargetMode="External"/><Relationship Id="rId59" Type="http://schemas.openxmlformats.org/officeDocument/2006/relationships/hyperlink" Target="http://www.sec.gov/Archives/edgar/data/2002045/000121390026036885/ea0284228-6k_gclglobal.htm" TargetMode="External"/><Relationship Id="rId60" Type="http://schemas.openxmlformats.org/officeDocument/2006/relationships/hyperlink" Target="https://www.sec.gov/Archives/edgar/data/2002045/000121390026043238/ea0286221-6k_gcl.htm" TargetMode="External"/><Relationship Id="rId61" Type="http://schemas.openxmlformats.org/officeDocument/2006/relationships/hyperlink" Target="https://www.sec.gov/Archives/edgar/data/2002045/000121390026048866/ea0287551-6k_gcl.htm" TargetMode="External"/><Relationship Id="rId62" Type="http://schemas.openxmlformats.org/officeDocument/2006/relationships/hyperlink" Target="http://www.sec.gov/Archives/edgar/data/2002045/000121390026059012/ea0291544-6k_gcl.htm" TargetMode="External"/><Relationship Id="rId63" Type="http://schemas.openxmlformats.org/officeDocument/2006/relationships/hyperlink" Target="http://www.sec.gov/Archives/edgar/data/2002045/000121390026060793/ea0292116-6k_gcl.htm" TargetMode="External"/><Relationship Id="rId64" Type="http://schemas.openxmlformats.org/officeDocument/2006/relationships/hyperlink" Target="http://www.sec.gov/Archives/edgar/data/2002045/000110465925012646/tm256412d1_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2026-06-10T06:15:10Z</dcterms:created>
  <dcterms:modified xsi:type="dcterms:W3CDTF">2026-06-10T06:15:10Z</dcterms:modified>
</cp:coreProperties>
</file>