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ea0303267-f3_gclglobal.htm"/>
      <w:bookmarkStart w:id="1" w:name="ksea0303267f3_gclglobal"/>
      <w:bookmarkEnd w:id="0"/>
      <w:bookmarkEnd w:id="1"/>
      <w:r>
        <w:rPr>
          <w:b/>
        </w:rPr>
        <w:t>As filed with the U.S. Securities and Exchange Commission on September 2,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333-[_____]</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br/>
        <w:t>REGISTRATION STATEMENT</w:t>
        <w:b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GCL GLOBAL HOLDINGS LTD</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28" w:type="dxa"/>
          <w:right w:w="0" w:type="dxa"/>
        </w:tblCellMar>
      </w:tblPr>
      <w:tblGrid>
        <w:gridCol w:w="2495"/>
        <w:gridCol w:w="60"/>
        <w:gridCol w:w="2375"/>
        <w:gridCol w:w="60"/>
        <w:gridCol w:w="1535"/>
      </w:tblGrid>
      <w:tr>
        <w:trPr/>
        <w:tc>
          <w:tcPr>
            <w:tcW w:w="24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7372</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(Primary Standard Industrial </w:t>
              <w:br/>
              <w:t>Classification Code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Tai Seng Avenue #02-01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Natural Cool Lifestyle Hub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534119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80427330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(800) 221-0102</w:t>
        <w:br/>
      </w: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of communications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Jane K. P. Tam,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Loeb &amp; Loeb LLP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901 New York Avenue, N.W.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(202) 618-5000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this Registration Statement is declared effective.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firstLine="360"/>
        <w:jc w:val="right"/>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issued until the registration statement filed with the U.S. Securities and Exchange Commission is effective. This preliminary prospectus is not an offer to sell these securities and does not constitute the solicitation of an offer to buy these securities in any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SEPTEMBER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2,201,665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by the selling shareholders named in this prospectus under the section entitled “Selling Shareholders” (the “Selling Shareholders”) of up to 2,201,665 ordinary shares, par value $0.0001 per share (the “Resale Shares”) of GCL Global Holdings Ltd, a Cayman Islands exempted company (the “Company,” “PubCo,” “we,” “us” or “our”). The Resale Shares were issued in February 2025 in connection with the Business Combination (defined below) but held in escrow for the Selling Shareholders until March 2026 pursuant to certain Note Purchase Agreements dated between September 2024 and February 2025 among the Company, the Selling Shareholders and other parties named therein.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this prospectus and will not receive any proceeds from the sale of the Resale Shares by the Selling Shareholders. The Selling Shareholders or their donees, pledgees, transferees or other successors-in-interest may, from time to time, offer and resell their Shares in public transactions or in privately negotiated transactions, without limitation, at market prices prevailing at the time of resale or at negotiated prices. The timing and amount of any resale are within the sole discretion of the Selling Shareholders.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and resell their Resale Shares through underwriters, broker-dealers or agents, who may receive compensation in the form of discounts, commissions or concessions. The Selling Shareholders will pay all underwriting discounts, brokerage fees or selling commissions, if any, applicable to the resale of the Resale Shares. We will bear all reasonable costs, expenses, and fees in connection with the registration of the Resale Shares with the U.S. Securities and Exchange Commission, and will not receive any proceeds from the sale of the Resale Shares by the Selling Shareholders. See “Use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the Selling Shareholders will offer or sell any of the securities registered hereby. The securities are being registered to permit the Selling Shareholders to sell the securities from time to time, in amounts, at prices and on terms determined at the time the Selling Shareholders offer and sell the securities covered by this prospectus. However, the perception in the market that certain shareholders may intend to resell up to 2,201,665 ordinary shares, could increase the volatility of, or result in a significant decline in, the public trading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and sell the securities covered by this prospectus through ordinary brokerage transactions, directly to market makers of our securities or through any other means described in the section entitled “Plan of Distribution” herein. In connection with any sales of the securities offered hereunder, the Selling Shareholders, any underwriters, agents, brokers or dealers participating in such sales may be deemed to be “underwriters” within the meaning of the Securities Act of 1933, as amended (the “Securities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Global Select Market under the symbol “GCL.” On September 1, 2026, the closing price of our ordinary shares was $0.514.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ordinary shares issued and outstanding as of the date of this prospectus are 130,135,432 Ordinary Shares and 128,008,703 Ordinary Shares, respectively. As of the date of this prospectus, Jacky Choo See Wee, our chairman of the board of directors, is able to exercise voting rights with respect to over 50% of the voting power of our issued and outstanding shares through his beneficial ownership of 80,581,793 Ordinary Shares. We are a “controlled company” as defined under the Corporate Governance Rules of Nasdaq. For so long as we remain a controlled company under this definition, we are permitted to, and currently elect to, rely on certain exemptions from corporate governance rules, including the exemption from the rule that a majority of our board of directors must be independent directors. For details, see “</w:t>
      </w:r>
      <w:r>
        <w:rPr>
          <w:rFonts w:ascii="Times New Roman;Times;Serif" w:hAnsi="Times New Roman;Times;Serif"/>
          <w:b w:val="false"/>
          <w:i/>
          <w:caps w:val="false"/>
          <w:smallCaps w:val="false"/>
          <w:sz w:val="20"/>
        </w:rPr>
        <w:t>Item 3. Key Information—D. Risk Factors—Risks Related to GCL Operating as a Public Company—As a “controlled company” under the Nasdaq rules, GCL may choose to exempt itself from certain corporate governance requirements that could have an adverse effect on our public shareholders</w:t>
      </w:r>
      <w:r>
        <w:rPr>
          <w:rFonts w:ascii="Times New Roman;Times;Serif" w:hAnsi="Times New Roman;Times;Serif"/>
          <w:b w:val="false"/>
          <w:i w:val="false"/>
          <w:caps w:val="false"/>
          <w:smallCaps w:val="false"/>
          <w:sz w:val="20"/>
        </w:rPr>
        <w:t>” in our most recent annual report on Form 20-F,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this prospectus from time to time by filing amendments or supplements as required. You should read this entire prospectus and any amendments or supplements carefully before you make your investment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in the Jumpstart Our Business Startups Act of 2012 and have elected to comply with certain reduced public company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“foreign private issuer,” as defined in the Securities and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“short 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IS SPECULATIVE AND INVOLVES A HIGH DEGREE OF RISK. SEE THE “RISK FACTORS” SECTION BEGINNING ON PAGE 5 OF THIS PROSPECTUS, IN ANY ACCOMPANYING PROSPECTUS SUPPLEMENT OR IN OUR REPORTS FILED WITH THE SECURITIES AND EXCHANGE COMMISSION THAT ARE INCORPORATED BY REFERENCE IN THIS PROSPECTUS BEFORE MAKING A DECISION TO INVEST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8255"/>
        <w:gridCol w:w="60"/>
        <w:gridCol w:w="530"/>
      </w:tblGrid>
      <w:tr>
        <w:trPr/>
        <w:tc>
          <w:tcPr>
            <w:tcW w:w="8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825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w:t>
            </w:r>
          </w:p>
        </w:tc>
      </w:tr>
      <w:tr>
        <w:trPr/>
        <w:tc>
          <w:tcPr>
            <w:tcW w:w="8255" w:type="dxa"/>
            <w:tcBorders/>
            <w:shd w:fill="FFFFFF" w:val="clear"/>
            <w:vAlign w:val="center"/>
          </w:tcPr>
          <w:p>
            <w:pPr>
              <w:pStyle w:val="TableContents"/>
              <w:bidi w:val="0"/>
              <w:spacing w:before="0" w:after="283"/>
              <w:jc w:val="left"/>
              <w:rPr/>
            </w:pPr>
            <w:hyperlink w:anchor="a_002">
              <w:r>
                <w:rPr>
                  <w:rStyle w:val="InternetLink"/>
                </w:rPr>
                <w:t>INDUSTRY AND MARKET DATA</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iii</w:t>
            </w:r>
          </w:p>
        </w:tc>
      </w:tr>
      <w:tr>
        <w:trPr/>
        <w:tc>
          <w:tcPr>
            <w:tcW w:w="8255" w:type="dxa"/>
            <w:tcBorders/>
            <w:shd w:fill="CCEEFF" w:val="clear"/>
            <w:vAlign w:val="center"/>
          </w:tcPr>
          <w:p>
            <w:pPr>
              <w:pStyle w:val="TableContents"/>
              <w:bidi w:val="0"/>
              <w:spacing w:before="0" w:after="283"/>
              <w:jc w:val="left"/>
              <w:rPr/>
            </w:pPr>
            <w:hyperlink w:anchor="a_003">
              <w:r>
                <w:rPr>
                  <w:rStyle w:val="InternetLink"/>
                </w:rPr>
                <w:t>FREQUENTLY USED TERMS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iv</w:t>
            </w:r>
          </w:p>
        </w:tc>
      </w:tr>
      <w:tr>
        <w:trPr/>
        <w:tc>
          <w:tcPr>
            <w:tcW w:w="8255" w:type="dxa"/>
            <w:tcBorders/>
            <w:shd w:fill="FFFFFF" w:val="clear"/>
            <w:vAlign w:val="center"/>
          </w:tcPr>
          <w:p>
            <w:pPr>
              <w:pStyle w:val="TableContents"/>
              <w:bidi w:val="0"/>
              <w:spacing w:before="0" w:after="283"/>
              <w:jc w:val="left"/>
              <w:rPr/>
            </w:pPr>
            <w:hyperlink w:anchor="a_004">
              <w:r>
                <w:rPr>
                  <w:rStyle w:val="InternetLink"/>
                </w:rPr>
                <w:t>CAUTIONARY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v</w:t>
            </w:r>
          </w:p>
        </w:tc>
      </w:tr>
      <w:tr>
        <w:trPr/>
        <w:tc>
          <w:tcPr>
            <w:tcW w:w="8255" w:type="dxa"/>
            <w:tcBorders/>
            <w:shd w:fill="CCEEFF" w:val="clear"/>
            <w:vAlign w:val="center"/>
          </w:tcPr>
          <w:p>
            <w:pPr>
              <w:pStyle w:val="TableContents"/>
              <w:bidi w:val="0"/>
              <w:spacing w:before="0" w:after="283"/>
              <w:jc w:val="left"/>
              <w:rPr/>
            </w:pPr>
            <w:hyperlink w:anchor="a_005">
              <w:r>
                <w:rPr>
                  <w:rStyle w:val="InternetLink"/>
                </w:rPr>
                <w:t>SUMMARY OF THE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w:t>
            </w:r>
          </w:p>
        </w:tc>
      </w:tr>
      <w:tr>
        <w:trPr/>
        <w:tc>
          <w:tcPr>
            <w:tcW w:w="8255" w:type="dxa"/>
            <w:tcBorders/>
            <w:shd w:fill="FFFFFF" w:val="clear"/>
            <w:vAlign w:val="center"/>
          </w:tcPr>
          <w:p>
            <w:pPr>
              <w:pStyle w:val="TableContents"/>
              <w:bidi w:val="0"/>
              <w:spacing w:before="0" w:after="283"/>
              <w:jc w:val="left"/>
              <w:rPr/>
            </w:pPr>
            <w:hyperlink w:anchor="a_006">
              <w:r>
                <w:rPr>
                  <w:rStyle w:val="InternetLink"/>
                </w:rPr>
                <w:t>THE OFFERING</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4</w:t>
            </w:r>
          </w:p>
        </w:tc>
      </w:tr>
      <w:tr>
        <w:trPr/>
        <w:tc>
          <w:tcPr>
            <w:tcW w:w="8255" w:type="dxa"/>
            <w:tcBorders/>
            <w:shd w:fill="CCEEFF" w:val="clear"/>
            <w:vAlign w:val="center"/>
          </w:tcPr>
          <w:p>
            <w:pPr>
              <w:pStyle w:val="TableContents"/>
              <w:bidi w:val="0"/>
              <w:spacing w:before="0" w:after="283"/>
              <w:jc w:val="left"/>
              <w:rPr/>
            </w:pPr>
            <w:hyperlink w:anchor="a_007">
              <w:r>
                <w:rPr>
                  <w:rStyle w:val="InternetLink"/>
                </w:rPr>
                <w:t>RISK FACTORS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5</w:t>
            </w:r>
          </w:p>
        </w:tc>
      </w:tr>
      <w:tr>
        <w:trPr/>
        <w:tc>
          <w:tcPr>
            <w:tcW w:w="8255" w:type="dxa"/>
            <w:tcBorders/>
            <w:shd w:fill="FFFFFF" w:val="clear"/>
            <w:vAlign w:val="center"/>
          </w:tcPr>
          <w:p>
            <w:pPr>
              <w:pStyle w:val="TableContents"/>
              <w:bidi w:val="0"/>
              <w:spacing w:before="0" w:after="283"/>
              <w:jc w:val="left"/>
              <w:rPr/>
            </w:pPr>
            <w:hyperlink w:anchor="a_008">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6</w:t>
            </w:r>
          </w:p>
        </w:tc>
      </w:tr>
      <w:tr>
        <w:trPr/>
        <w:tc>
          <w:tcPr>
            <w:tcW w:w="8255" w:type="dxa"/>
            <w:tcBorders/>
            <w:shd w:fill="CCEEFF" w:val="clear"/>
            <w:vAlign w:val="center"/>
          </w:tcPr>
          <w:p>
            <w:pPr>
              <w:pStyle w:val="TableContents"/>
              <w:bidi w:val="0"/>
              <w:spacing w:before="0" w:after="283"/>
              <w:jc w:val="left"/>
              <w:rPr/>
            </w:pPr>
            <w:hyperlink w:anchor="a_009">
              <w:r>
                <w:rPr>
                  <w:rStyle w:val="InternetLink"/>
                </w:rPr>
                <w:t>CERTAIN MATERIAL U.S. FEDERAL INCOME TAX CONSIDERATIONS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7</w:t>
            </w:r>
          </w:p>
        </w:tc>
      </w:tr>
      <w:tr>
        <w:trPr/>
        <w:tc>
          <w:tcPr>
            <w:tcW w:w="8255" w:type="dxa"/>
            <w:tcBorders/>
            <w:shd w:fill="FFFFFF" w:val="clear"/>
            <w:vAlign w:val="center"/>
          </w:tcPr>
          <w:p>
            <w:pPr>
              <w:pStyle w:val="TableContents"/>
              <w:bidi w:val="0"/>
              <w:spacing w:before="0" w:after="283"/>
              <w:jc w:val="left"/>
              <w:rPr/>
            </w:pPr>
            <w:hyperlink w:anchor="a_010">
              <w:r>
                <w:rPr>
                  <w:rStyle w:val="InternetLink"/>
                </w:rPr>
                <w:t>DESCRIPTION OF SECURITIES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12</w:t>
            </w:r>
          </w:p>
        </w:tc>
      </w:tr>
      <w:tr>
        <w:trPr/>
        <w:tc>
          <w:tcPr>
            <w:tcW w:w="8255" w:type="dxa"/>
            <w:tcBorders/>
            <w:shd w:fill="CCEEFF" w:val="clear"/>
            <w:vAlign w:val="center"/>
          </w:tcPr>
          <w:p>
            <w:pPr>
              <w:pStyle w:val="TableContents"/>
              <w:bidi w:val="0"/>
              <w:spacing w:before="0" w:after="283"/>
              <w:jc w:val="left"/>
              <w:rPr/>
            </w:pPr>
            <w:hyperlink w:anchor="a_011">
              <w:r>
                <w:rPr>
                  <w:rStyle w:val="InternetLink"/>
                </w:rPr>
                <w:t>SELLING SHAREHOLDERS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19</w:t>
            </w:r>
          </w:p>
        </w:tc>
      </w:tr>
      <w:tr>
        <w:trPr/>
        <w:tc>
          <w:tcPr>
            <w:tcW w:w="8255" w:type="dxa"/>
            <w:tcBorders/>
            <w:shd w:fill="FFFFFF" w:val="clear"/>
            <w:vAlign w:val="center"/>
          </w:tcPr>
          <w:p>
            <w:pPr>
              <w:pStyle w:val="TableContents"/>
              <w:bidi w:val="0"/>
              <w:spacing w:before="0" w:after="283"/>
              <w:jc w:val="left"/>
              <w:rPr/>
            </w:pPr>
            <w:hyperlink w:anchor="a_012">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21</w:t>
            </w:r>
          </w:p>
        </w:tc>
      </w:tr>
      <w:tr>
        <w:trPr/>
        <w:tc>
          <w:tcPr>
            <w:tcW w:w="8255" w:type="dxa"/>
            <w:tcBorders/>
            <w:shd w:fill="CCEEFF" w:val="clear"/>
            <w:vAlign w:val="center"/>
          </w:tcPr>
          <w:p>
            <w:pPr>
              <w:pStyle w:val="TableContents"/>
              <w:bidi w:val="0"/>
              <w:spacing w:before="0" w:after="283"/>
              <w:jc w:val="left"/>
              <w:rPr/>
            </w:pPr>
            <w:hyperlink w:anchor="a_013">
              <w:r>
                <w:rPr>
                  <w:rStyle w:val="InternetLink"/>
                </w:rPr>
                <w:t>EXPENSES RELATING TO THIS OFFERING</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23</w:t>
            </w:r>
          </w:p>
        </w:tc>
      </w:tr>
      <w:tr>
        <w:trPr/>
        <w:tc>
          <w:tcPr>
            <w:tcW w:w="8255" w:type="dxa"/>
            <w:tcBorders/>
            <w:shd w:fill="FFFFFF" w:val="clear"/>
            <w:vAlign w:val="center"/>
          </w:tcPr>
          <w:p>
            <w:pPr>
              <w:pStyle w:val="TableContents"/>
              <w:bidi w:val="0"/>
              <w:spacing w:before="0" w:after="283"/>
              <w:jc w:val="left"/>
              <w:rPr/>
            </w:pPr>
            <w:hyperlink w:anchor="a_014">
              <w:r>
                <w:rPr>
                  <w:rStyle w:val="InternetLink"/>
                </w:rPr>
                <w:t>LEGAL MATTERS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w:t>
            </w:r>
          </w:p>
        </w:tc>
      </w:tr>
      <w:tr>
        <w:trPr/>
        <w:tc>
          <w:tcPr>
            <w:tcW w:w="8255" w:type="dxa"/>
            <w:tcBorders/>
            <w:shd w:fill="CCEEFF" w:val="clear"/>
            <w:vAlign w:val="center"/>
          </w:tcPr>
          <w:p>
            <w:pPr>
              <w:pStyle w:val="TableContents"/>
              <w:bidi w:val="0"/>
              <w:spacing w:before="0" w:after="283"/>
              <w:jc w:val="left"/>
              <w:rPr/>
            </w:pPr>
            <w:hyperlink w:anchor="a_015">
              <w:r>
                <w:rPr>
                  <w:rStyle w:val="InternetLink"/>
                </w:rPr>
                <w:t>EXPERTS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w:t>
            </w:r>
          </w:p>
        </w:tc>
      </w:tr>
      <w:tr>
        <w:trPr/>
        <w:tc>
          <w:tcPr>
            <w:tcW w:w="8255" w:type="dxa"/>
            <w:tcBorders/>
            <w:shd w:fill="FFFFFF" w:val="clear"/>
            <w:vAlign w:val="center"/>
          </w:tcPr>
          <w:p>
            <w:pPr>
              <w:pStyle w:val="TableContents"/>
              <w:bidi w:val="0"/>
              <w:spacing w:before="0" w:after="283"/>
              <w:jc w:val="left"/>
              <w:rPr/>
            </w:pPr>
            <w:hyperlink w:anchor="a_016">
              <w:r>
                <w:rPr>
                  <w:rStyle w:val="InternetLink"/>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24</w:t>
            </w:r>
          </w:p>
        </w:tc>
      </w:tr>
      <w:tr>
        <w:trPr/>
        <w:tc>
          <w:tcPr>
            <w:tcW w:w="8255" w:type="dxa"/>
            <w:tcBorders/>
            <w:shd w:fill="CCEEFF" w:val="clear"/>
            <w:vAlign w:val="center"/>
          </w:tcPr>
          <w:p>
            <w:pPr>
              <w:pStyle w:val="TableContents"/>
              <w:bidi w:val="0"/>
              <w:spacing w:before="0" w:after="283"/>
              <w:jc w:val="left"/>
              <w:rPr/>
            </w:pPr>
            <w:hyperlink w:anchor="a_017">
              <w:r>
                <w:rPr>
                  <w:rStyle w:val="InternetLink"/>
                </w:rPr>
                <w:t>ENFORCEABILITY OF CIVIL LIABILITIES UNDER U.S. SECURITIES LAWS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24</w:t>
            </w:r>
          </w:p>
        </w:tc>
      </w:tr>
      <w:tr>
        <w:trPr/>
        <w:tc>
          <w:tcPr>
            <w:tcW w:w="8255" w:type="dxa"/>
            <w:tcBorders/>
            <w:shd w:fill="FFFFFF" w:val="clear"/>
            <w:vAlign w:val="center"/>
          </w:tcPr>
          <w:p>
            <w:pPr>
              <w:pStyle w:val="TableContents"/>
              <w:bidi w:val="0"/>
              <w:spacing w:before="0" w:after="283"/>
              <w:jc w:val="left"/>
              <w:rPr/>
            </w:pPr>
            <w:hyperlink w:anchor="a_018">
              <w:r>
                <w:rPr>
                  <w:rStyle w:val="InternetLink"/>
                </w:rPr>
                <w:t>INFORMATION INCORPORATED BY REFERENCE</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26</w:t>
            </w:r>
          </w:p>
        </w:tc>
      </w:tr>
      <w:tr>
        <w:trPr/>
        <w:tc>
          <w:tcPr>
            <w:tcW w:w="8255" w:type="dxa"/>
            <w:tcBorders/>
            <w:shd w:fill="CCEEFF" w:val="clear"/>
            <w:vAlign w:val="center"/>
          </w:tcPr>
          <w:p>
            <w:pPr>
              <w:pStyle w:val="TableContents"/>
              <w:bidi w:val="0"/>
              <w:spacing w:before="0" w:after="283"/>
              <w:jc w:val="left"/>
              <w:rPr/>
            </w:pPr>
            <w:hyperlink w:anchor="a_019">
              <w:r>
                <w:rPr>
                  <w:rStyle w:val="InternetLink"/>
                </w:rPr>
                <w:t>PART II INFORMATION NOT REQUIRED IN PROSPECTUS</w:t>
              </w:r>
            </w:hyperlink>
          </w:p>
        </w:tc>
        <w:tc>
          <w:tcPr>
            <w:tcW w:w="60"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II-1</w:t>
            </w:r>
          </w:p>
        </w:tc>
      </w:tr>
      <w:tr>
        <w:trPr/>
        <w:tc>
          <w:tcPr>
            <w:tcW w:w="8255" w:type="dxa"/>
            <w:tcBorders/>
            <w:shd w:fill="FFFFFF" w:val="clear"/>
            <w:vAlign w:val="center"/>
          </w:tcPr>
          <w:p>
            <w:pPr>
              <w:pStyle w:val="TableContents"/>
              <w:bidi w:val="0"/>
              <w:spacing w:before="0" w:after="283"/>
              <w:jc w:val="left"/>
              <w:rPr/>
            </w:pPr>
            <w:hyperlink w:anchor="a_020">
              <w:r>
                <w:rPr>
                  <w:rStyle w:val="InternetLink"/>
                </w:rPr>
                <w:t>SIGNATURES</w:t>
              </w:r>
            </w:hyperlink>
          </w:p>
        </w:tc>
        <w:tc>
          <w:tcPr>
            <w:tcW w:w="6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II-4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in this prospectus or any amendment or supplement. Neither we nor the Selling Shareholders have authorized anyone else to provide you with different information. The securities offered by this prospectus are being offered only in jurisdictions where the offer is permitted. You should not assume that the information in this prospectus or any amendment or supplement is accurate as of any date other than the date on the front of each document. Our business, financial condition, results of operations and prospects may have changed since that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set forth in this prospectus, neither we nor the Selling Shareholders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F-3 filed with the SEC by GCL Global Holdings Ltd. The Selling Shareholders named in this prospectus may, from time to time, sell the securities described in this prospectus in one or more offerings. This prospectus includes important information about us, the securities being offered by the Selling Shareholders and other information you should know before investing. We may provide a prospectus supplement or post-effective amendment to the registration statement to add information to, or update or change information contained in, this prospectus. If there is any inconsistency between the information contained in this prospectus and any prospectus supplement or post-effective amendment, you should rely on the information contained in that particular prospectus supplement or post-effective amendment. You should read this prospectus together with the additional information about us described in the section below entitled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 You should rely only on information contained in this prospectus, any prospectus supplement and any related free writing prospectus. Neither we nor the Selling Shareholders have authorized anyone to provide you with information different from that contained in this prospectus, any prospectus supplement and any related free writing prospectus. The information contained in this prospectus is accurate only as of the date on the front cover of the prospectus. You should not assume that the information contained in this prospectus is accurate as of any other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and sell the securities directly to purchasers, through agents selected by the Selling Shareholders, or to or through underwriters or dealers. A prospectus supplement, if required, may describe the terms of the plan of distribution and set forth the names of any agents, underwriters or dealers involved in the sale of securities.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the United States: Neither we nor the Selling Shareholders have taken any action to permit the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Ordinary Shares and the distribution of this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Discrepancies in any table between totals and sums of the amounts listed are due to rounding. Certain amounts and percentages have been rounded; consequently, certain figures may add up to be more or less than the total amount and certain percentages may add up to be more or less than 100% due to rounding. In particular and without limitation, amounts expressed in millions contained in this prospectus have been rounded to a single decimal place for the convenience of readers.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INDUSTRY AND MARKET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estimates and other information concerning our industry, including market size and growth of the market in which we participate, that are derived from various public sources. This information involves a number of assumptions and limitations, and you are cautioned not to give undue weight to these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publications, research, studies and forecasts generally state that the information they contain has been obtained from sources believed to be reliable, but that the accuracy and completeness of such information is not guaranteed. In some cases, we do not expressly refer to the sources from which these estimates and information are derived. While we have compiled, extracted, and reproduced industry data from these sources, we have not independently verified the data.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in this prospectus,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most recent annual report on Form 20-F, and any updates to those risk factors in our reports on Form 6-K incorporated by reference in this prospectus, together with all of the other information appearing or incorporated by reference in this prospectus. These and other factors could cause results to differ materially from those expressed in any forecasts or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FREQUENTLY USED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the context otherwise requires, the “GCL,” “GCL Group,” “Company” and references to “we,” “us,” or similar such references should be understood to be references to GCL Global Holdings Ltd and its subsidiaries and consolidated affiliated entities (“Group Subsidiaries,” each a “Group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unless otherwise stated, references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“USD,” “US$” and “U.S. dollar” each refers to the United States dollar.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Amended and Restated Memorandum and Articles of Association” means the Company’s current amended and restated memorandum and articles of association, adopted on February 13,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Ancillary Agreements” means certain additional agreements entered into pursuant to or in connection with the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April 2026 Warrant” means the three-year warrant the Company issued to an institutional investor on April 28, 2026 for 1,125,000 shares at an initial exercise price of $8.00 per share, subject to full-ratchet anti-dilution adjustments and other price protections in the event of, among other things, a reverse stock split or share combination, in exchange for a portion of the then-outstanding convertible notes pursuant to a certain Exchange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Ban Leong” means Ban Leong Technologies Pte. Ltd. (formerly known as “Ban Leong Technologies Limited” prior to its delisting from the Singapore Stock Exchange on August 26, 2025), a Singapore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Combination,” “Transactions,” or “Merger” means, collectively, the transactions contemplated by the Merger Agreement and the Ancillary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means the closing of the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means February 13,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Code” means the Internal Revenue Code of 1986, as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means the Companies Act (As Revised) of the Cayman Islands as the same may be amended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Agreement” means that certain Amendment, Waiver and Exchange Agreement between an accredited investor and the Company dated April 28,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Merger Agreement” means the Merger Agreement, dated as of October 18, 2023 (as amended on December 1, 2023, December 15, 2023, January 31, 2024, and September 30, 2024) by and among (i) the Company, (ii) RF Acquisition Corp., a Delaware corporation (“RFAC”), (iii) Grand Centrex Limited, a British Virgin Islands business company (“GCL BVI”), (iv) GCL Global Limited, a Cayman Islands exempted company limited by shares (“GCL Global”), and, (v) for the limited purposes set forth therein, RF Dynamic LLC, a Delaware limited liability company (the “Sponsor”).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Nasdaq” means The Nasdaq Stock Market LLC.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means, collectively, the ordinary shares of the Company, each with par value $0.0001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RFAC” means RF Acquisition Corp.,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Sarbanes-Oxley Act” means the Sarbanes-Oxley Act of 2002, as may be amended.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U.S. Securities and Exchange Commission.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Sponsor” means RF Dynamic LLC, a Delaware limited liability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Transactions” means, collectively, the Mergers and each of the other transactions contemplated by the Merger Agreement or any of the Ancillary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means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or “GAAP” means generally accepted accounting principles in the United States of America.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Warrants” means warrants of the Company, each exercisable for one Ordinary Share at an exercise price of $11.50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within the meaning of Section 27A of the Securities Act and Section 21E of the Exchange Act that involve substantial risks and uncertainties. All statements other than statements of historical facts contained in this prospectus, including statements regarding our future financial position, business strategy and plans and objectives of management for future operations, are forward-looking statements. In some cases, you can identify forward-looking statements by terminology such as “may,” “will,” “should,” “expect,” “plan,” “anticipate,” “could,” “intend,” “target,” “project,” “contemplate,” “believe,” “estimate,” “predict,” “potential” or “continue” or the negative of these terms or other similar expressions.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our possible or assumed future results of operations as set forth in this prospectus. Forward-looking statements also include statements regarding the expected benefits of the Business Combination.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a number of risks, uncertainties and assumptions, and actual results or events may differ materially from those projected or implied in those statements. Important factors that could cause such differences include, but are not limited to:</w:t>
      </w:r>
    </w:p>
    <w:p>
      <w:pPr>
        <w:pStyle w:val="TextBody"/>
        <w:bidi w:val="0"/>
        <w:spacing w:before="0" w:after="0"/>
        <w:jc w:val="left"/>
        <w:rPr>
          <w:caps w:val="false"/>
          <w:smallCaps w:val="false"/>
        </w:rPr>
      </w:pPr>
      <w:r>
        <w:rPr>
          <w:caps w:val="false"/>
          <w:smallCaps w:val="false"/>
        </w:rPr>
        <w:t> </w:t>
      </w:r>
    </w:p>
    <w:tbl>
      <w:tblPr>
        <w:tblW w:w="4698" w:type="dxa"/>
        <w:jc w:val="left"/>
        <w:tblInd w:w="0" w:type="dxa"/>
        <w:tblLayout w:type="fixed"/>
        <w:tblCellMar>
          <w:top w:w="0" w:type="dxa"/>
          <w:left w:w="0" w:type="dxa"/>
          <w:bottom w:w="0" w:type="dxa"/>
          <w:right w:w="0" w:type="dxa"/>
        </w:tblCellMar>
      </w:tblPr>
      <w:tblGrid>
        <w:gridCol w:w="38"/>
        <w:gridCol w:w="17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pPr>
            <w:r>
              <w:rPr/>
              <w:t>the benefits from the acquisition of Ban Leong;</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ability to successfully integrate Ban Leong into GCL Group and achieve economies of scale and operational efficiencies;</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expectations regarding our strategies and future financial performance, including our future business plans or objectives, prospective performance and opportunities and competitors, revenues, customer acquisition and retention, products and services, pricing, marketing plans, operating expenses, market trends and acceptance, liquidity, cash flows and uses of cash, capital expenditures, and our ability to invest in growth initiatives and pursue acquisition opportunities;</w:t>
            </w:r>
          </w:p>
        </w:tc>
      </w:tr>
    </w:tbl>
    <w:p>
      <w:pPr>
        <w:pStyle w:val="TextBody"/>
        <w:bidi w:val="0"/>
        <w:spacing w:before="0" w:after="0"/>
        <w:ind w:left="0" w:right="0" w:firstLine="702"/>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pPr>
            <w:r>
              <w:rPr/>
              <w:t>the ability to execute our growth strategy and diversify revenue streams;</w:t>
            </w:r>
          </w:p>
        </w:tc>
      </w:tr>
    </w:tbl>
    <w:p>
      <w:pPr>
        <w:pStyle w:val="TextBody"/>
        <w:bidi w:val="0"/>
        <w:spacing w:before="0" w:after="0"/>
        <w:ind w:left="0" w:right="0" w:firstLine="702"/>
        <w:jc w:val="left"/>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17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pPr>
            <w:r>
              <w:rPr/>
              <w:t>the ability to expand our operations and geographic reach;</w:t>
            </w:r>
          </w:p>
        </w:tc>
      </w:tr>
    </w:tbl>
    <w:p>
      <w:pPr>
        <w:pStyle w:val="TextBody"/>
        <w:bidi w:val="0"/>
        <w:spacing w:before="0" w:after="0"/>
        <w:ind w:left="0" w:right="0" w:firstLine="702"/>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pPr>
            <w:r>
              <w:rPr/>
              <w:t>the ability to manage growth and maintain our corporate culture as we grow;</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regulatory environment and changes in laws, regulations or policies in the jurisdictions in which we operate;</w:t>
            </w:r>
          </w:p>
        </w:tc>
      </w:tr>
    </w:tbl>
    <w:p>
      <w:pPr>
        <w:pStyle w:val="TextBody"/>
        <w:bidi w:val="0"/>
        <w:spacing w:before="0" w:after="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pPr>
            <w:r>
              <w:rPr/>
              <w:t>political instability in the jurisdictions in which we operate;</w:t>
            </w:r>
          </w:p>
        </w:tc>
      </w:tr>
    </w:tbl>
    <w:p>
      <w:pPr>
        <w:pStyle w:val="TextBody"/>
        <w:bidi w:val="0"/>
        <w:spacing w:before="0" w:after="0"/>
        <w:ind w:left="0" w:right="0" w:firstLine="702"/>
        <w:jc w:val="left"/>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17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pPr>
            <w:r>
              <w:rPr/>
              <w:t>exchange and interest rate fluctuations;</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anticipated technology trends and developments and our ability to address those trends and developments with our offerings;</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loss of key personnel and the inability to replace such personnel on a timely basis or on acceptable terms;</w:t>
            </w:r>
          </w:p>
        </w:tc>
      </w:tr>
    </w:tbl>
    <w:p>
      <w:pPr>
        <w:pStyle w:val="TextBody"/>
        <w:bidi w:val="0"/>
        <w:spacing w:before="0" w:after="0"/>
        <w:ind w:left="0" w:right="0" w:firstLine="702"/>
        <w:jc w:val="left"/>
        <w:rPr>
          <w:caps w:val="false"/>
          <w:smallCaps w:val="false"/>
        </w:rPr>
      </w:pPr>
      <w:r>
        <w:rPr>
          <w:caps w:val="false"/>
          <w:smallCaps w:val="false"/>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pPr>
            <w:r>
              <w:rPr/>
              <w:t>changes of our capital needs and our ability to raise financing;</w:t>
            </w:r>
          </w:p>
        </w:tc>
      </w:tr>
    </w:tbl>
    <w:p>
      <w:pPr>
        <w:pStyle w:val="TextBody"/>
        <w:bidi w:val="0"/>
        <w:spacing w:before="0" w:after="0"/>
        <w:ind w:left="0" w:right="0" w:firstLine="702"/>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170"/>
        <w:gridCol w:w="57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pPr>
            <w:r>
              <w:rPr/>
              <w:t>the ability to maintain the listing of our securities on Nasdaq;</w:t>
            </w:r>
          </w:p>
        </w:tc>
      </w:tr>
    </w:tbl>
    <w:p>
      <w:pPr>
        <w:pStyle w:val="TextBody"/>
        <w:bidi w:val="0"/>
        <w:spacing w:before="0" w:after="0"/>
        <w:ind w:left="0" w:right="0" w:firstLine="702"/>
        <w:jc w:val="left"/>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170"/>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both"/>
              <w:rPr/>
            </w:pPr>
            <w:r>
              <w:rPr/>
              <w:t>the ability to utilize the “controlled company” exemption under the rules of Nasdaq;</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litigation and regulatory enforcement risks, including the diversion of management time and attention and the additional costs and demands on our resources; and</w:t>
            </w:r>
          </w:p>
        </w:tc>
      </w:tr>
    </w:tbl>
    <w:p>
      <w:pPr>
        <w:pStyle w:val="TextBody"/>
        <w:bidi w:val="0"/>
        <w:spacing w:before="0" w:after="0"/>
        <w:ind w:left="0" w:right="0" w:firstLine="70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other matters described under “</w:t>
            </w:r>
            <w:r>
              <w:rPr>
                <w:i/>
              </w:rPr>
              <w:t>Item 3. Key Information—D. Risk Factors</w:t>
            </w:r>
            <w:r>
              <w:rPr/>
              <w:t>” in our most recent annual report on Form 20-F, incorporated herein by reference.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against placing undue reliance on forward-looking statements, which reflect current beliefs and are based on information currently available to us as of the date a forward-looking statement is made. Forward-looking statements set forth herein speak only as of the date of this prospectus. We do not undertake any obligation to revise forward-looking statements to reflect future events, changes in circumstances, or changes in beliefs. In the event that any forward-looking statement is updated, no inference should be made that we will make additional updates with respect to that statement, related matters, or any other forward-looking statements. Any corrections or revisions and other important assumptions and factors that could cause actual results to differ materially from forward-looking statements, including discussions of significant risk factors, may appear, in our public filings with the SEC, which are accessible at www.sec.gov, and which you are advised to consult.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ranking and industry data used throughout this prospectus, including statements regarding market size, is based on independent industry surveys and publications. These data involve a number of assumptions and limitations, and you are cautioned not to give undue weight to such estimates. While we are not aware of any misstatements regarding the industry data presented herein, such estimates involve risks and uncertainties and are subject to change based on various factors, including those discussed under the headings “</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our most recent annual report on Form 20-F and any updates to those risk factors in our reports on Form 6-K incorporated by reference in this prospectus, together with all of the other information appearing or incorporated by reference in this prospectus.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6" w:name="a_005"/>
      <w:bookmarkEnd w:id="6"/>
      <w:r>
        <w:rPr>
          <w:rFonts w:ascii="Times New Roman;Times;Serif" w:hAnsi="Times New Roman;Times;Serif"/>
          <w:b/>
          <w:i w:val="false"/>
          <w:caps w:val="false"/>
          <w:smallCaps w:val="false"/>
          <w:sz w:val="20"/>
          <w:bdr w:val="single" w:sz="12" w:space="1" w:color="000000"/>
        </w:rPr>
        <w:t>SUMMARY OF THE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You should read the following summary together with the more detailed information in this prospectus, any related prospectus supplement and any related free writing prospectus, including the information set forth in the section titled “Risk Factors” in this prospectus, any related prospectus supplement and any related free writing prospectus in their entirety before making an investment decision.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GCL Global Holdings Ltd, together with the Group Subsidiaries (“</w:t>
      </w:r>
      <w:r>
        <w:rPr>
          <w:rFonts w:ascii="Times New Roman;Times;Serif" w:hAnsi="Times New Roman;Times;Serif"/>
          <w:b/>
          <w:i/>
          <w:caps w:val="false"/>
          <w:smallCaps w:val="false"/>
          <w:sz w:val="20"/>
          <w:bdr w:val="single" w:sz="12" w:space="1" w:color="000000"/>
        </w:rPr>
        <w:t>GCL Group</w:t>
      </w:r>
      <w:r>
        <w:rPr>
          <w:rFonts w:ascii="Times New Roman;Times;Serif" w:hAnsi="Times New Roman;Times;Serif"/>
          <w:b w:val="false"/>
          <w:i w:val="false"/>
          <w:caps w:val="false"/>
          <w:smallCaps w:val="false"/>
          <w:sz w:val="20"/>
          <w:bdr w:val="single" w:sz="12" w:space="1" w:color="000000"/>
        </w:rPr>
        <w:t>”), is an integrated games, entertainment and technology products group engaged in the marketing, distribution, publishing and development of video games and other entertainment content across Asia, Europe, the United States and Latin America. Following our acquisition of Ban Leong Technologies Limited (“</w:t>
      </w:r>
      <w:r>
        <w:rPr>
          <w:rFonts w:ascii="Times New Roman;Times;Serif" w:hAnsi="Times New Roman;Times;Serif"/>
          <w:b/>
          <w:i/>
          <w:caps w:val="false"/>
          <w:smallCaps w:val="false"/>
          <w:sz w:val="20"/>
          <w:bdr w:val="single" w:sz="12" w:space="1" w:color="000000"/>
        </w:rPr>
        <w:t>Ban Leong</w:t>
      </w:r>
      <w:r>
        <w:rPr>
          <w:rFonts w:ascii="Times New Roman;Times;Serif" w:hAnsi="Times New Roman;Times;Serif"/>
          <w:b w:val="false"/>
          <w:i w:val="false"/>
          <w:caps w:val="false"/>
          <w:smallCaps w:val="false"/>
          <w:sz w:val="20"/>
          <w:bdr w:val="single" w:sz="12" w:space="1" w:color="000000"/>
        </w:rPr>
        <w:t xml:space="preserve">”) in May 2025, we expanded our business into the distribution of IT hardware, computer accessories, gaming components, peripherals, data storage devices, smart technology and other consumer technology products across Singapore, Malaysia and Thailand. We sell and distribute to retailers and consumers in Asia physical and digital copies of video games through physical retailers, such as Sony PlayStation stores in Japan, and online channels in Singapore, Hong Kong, Malaysia, Japan, South Korea, Taiwan, Thailand, Indonesia, the Philippines and other Asian countries. Partnering with international video game publishers and developers, we have an established track record of selling and marketing top-tier video game franchises such as </w:t>
      </w:r>
      <w:r>
        <w:rPr>
          <w:rFonts w:ascii="Times New Roman;Times;Serif" w:hAnsi="Times New Roman;Times;Serif"/>
          <w:b w:val="false"/>
          <w:i/>
          <w:caps w:val="false"/>
          <w:smallCaps w:val="false"/>
          <w:sz w:val="20"/>
          <w:bdr w:val="single" w:sz="12" w:space="1" w:color="000000"/>
        </w:rPr>
        <w:t>Grand Theft Auto, Red Dead Redemption, Sonic the Hedgehog, Cyberpunk 2077 and Black Myth: Wukong</w:t>
      </w:r>
      <w:r>
        <w:rPr>
          <w:rFonts w:ascii="Times New Roman;Times;Serif" w:hAnsi="Times New Roman;Times;Serif"/>
          <w:b w:val="false"/>
          <w:i w:val="false"/>
          <w:caps w:val="false"/>
          <w:smallCaps w:val="false"/>
          <w:sz w:val="20"/>
          <w:bdr w:val="single" w:sz="12" w:space="1" w:color="000000"/>
        </w:rPr>
        <w:t>. Approximately 95.8%, 86.8%, and 93.3% of our total consolidated revenue for the fiscal years ended March 31, 2026, 2025, and 2024, respectively, was derived from the sale of either games on consoles such as Sony PlayStation, Microsoft Xbox, Nintendo Switch and personal computer (“</w:t>
      </w:r>
      <w:r>
        <w:rPr>
          <w:rFonts w:ascii="Times New Roman;Times;Serif" w:hAnsi="Times New Roman;Times;Serif"/>
          <w:b/>
          <w:i/>
          <w:caps w:val="false"/>
          <w:smallCaps w:val="false"/>
          <w:sz w:val="20"/>
          <w:bdr w:val="single" w:sz="12" w:space="1" w:color="000000"/>
        </w:rPr>
        <w:t>PC</w:t>
      </w:r>
      <w:r>
        <w:rPr>
          <w:rFonts w:ascii="Times New Roman;Times;Serif" w:hAnsi="Times New Roman;Times;Serif"/>
          <w:b w:val="false"/>
          <w:i w:val="false"/>
          <w:caps w:val="false"/>
          <w:smallCaps w:val="false"/>
          <w:sz w:val="20"/>
          <w:bdr w:val="single" w:sz="12" w:space="1" w:color="000000"/>
        </w:rPr>
        <w:t>”) to retailers, game activation keys (the so-called “</w:t>
      </w:r>
      <w:r>
        <w:rPr>
          <w:rFonts w:ascii="Times New Roman;Times;Serif" w:hAnsi="Times New Roman;Times;Serif"/>
          <w:b/>
          <w:i/>
          <w:caps w:val="false"/>
          <w:smallCaps w:val="false"/>
          <w:sz w:val="20"/>
          <w:bdr w:val="single" w:sz="12" w:space="1" w:color="000000"/>
        </w:rPr>
        <w:t>game codes</w:t>
      </w:r>
      <w:r>
        <w:rPr>
          <w:rFonts w:ascii="Times New Roman;Times;Serif" w:hAnsi="Times New Roman;Times;Serif"/>
          <w:b w:val="false"/>
          <w:i w:val="false"/>
          <w:caps w:val="false"/>
          <w:smallCaps w:val="false"/>
          <w:sz w:val="20"/>
          <w:bdr w:val="single" w:sz="12" w:space="1" w:color="000000"/>
        </w:rPr>
        <w:t>”) via electronic delivery to retailers or end-users through email or download and sales of IT hardware and computer accessories to retailers.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operate an ecosystem of content and hardware in games and entertainment, enabling creators to deliver engaging experiences to gaming communities worldwide with a strategic focus on the rapidly expanding Asian gaming market. In 2022, we formed 4Divinity, dedicated to our game publishing business investing in upcoming game titles as either a publisher or a co-publisher for the global market. Approximately 3.0%, 11.3%, and 3.5% of our total consolidated revenue for the fiscal years ended March 31, 2026, 2025, and 2024, respectively, was derived from game publishing. As of the date of this prospectus, 4Divinity has either published or co-published more than 15 game titles. In May 2025, we acquired Ban Leong, a leading Singapore-based distributor of IT hardware, gaming components, and smart technology, with operations across Singapore, Malaysia, and Thailand. We also have our own production studio and advertising agency, providing media and content advertising services for small and medium-sized enterprises (the “SMEs”) and government agencies. </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Mr. Jacky Choo See Wee, our Group Chairman and Chief Executive Officer of Epicsoft Asia and 4Divinity, has over 20 years of video games distribution and retail network management experience in Asia. Under Mr. Choo’s leadership, Epicsoft Asia has become a leading channel distributor for console games, and has forged multi-year deals with international video game publishers and studios such as Sega Corporation (“</w:t>
      </w:r>
      <w:r>
        <w:rPr>
          <w:rFonts w:ascii="Times New Roman;Times;Serif" w:hAnsi="Times New Roman;Times;Serif"/>
          <w:b/>
          <w:i/>
          <w:caps w:val="false"/>
          <w:smallCaps w:val="false"/>
          <w:sz w:val="20"/>
          <w:bdr w:val="single" w:sz="12" w:space="1" w:color="000000"/>
        </w:rPr>
        <w:t>Sega</w:t>
      </w:r>
      <w:r>
        <w:rPr>
          <w:rFonts w:ascii="Times New Roman;Times;Serif" w:hAnsi="Times New Roman;Times;Serif"/>
          <w:b w:val="false"/>
          <w:i w:val="false"/>
          <w:caps w:val="false"/>
          <w:smallCaps w:val="false"/>
          <w:sz w:val="20"/>
          <w:bdr w:val="single" w:sz="12" w:space="1" w:color="000000"/>
        </w:rPr>
        <w:t>”), Take-Two Interactive Software UK Limited (“</w:t>
      </w:r>
      <w:r>
        <w:rPr>
          <w:rFonts w:ascii="Times New Roman;Times;Serif" w:hAnsi="Times New Roman;Times;Serif"/>
          <w:b/>
          <w:i/>
          <w:caps w:val="false"/>
          <w:smallCaps w:val="false"/>
          <w:sz w:val="20"/>
          <w:bdr w:val="single" w:sz="12" w:space="1" w:color="000000"/>
        </w:rPr>
        <w:t>Take-two</w:t>
      </w:r>
      <w:r>
        <w:rPr>
          <w:rFonts w:ascii="Times New Roman;Times;Serif" w:hAnsi="Times New Roman;Times;Serif"/>
          <w:b w:val="false"/>
          <w:i w:val="false"/>
          <w:caps w:val="false"/>
          <w:smallCaps w:val="false"/>
          <w:sz w:val="20"/>
          <w:bdr w:val="single" w:sz="12" w:space="1" w:color="000000"/>
        </w:rPr>
        <w:t>”), CD Projekt S.A. (“</w:t>
      </w:r>
      <w:r>
        <w:rPr>
          <w:rFonts w:ascii="Times New Roman;Times;Serif" w:hAnsi="Times New Roman;Times;Serif"/>
          <w:b/>
          <w:i/>
          <w:caps w:val="false"/>
          <w:smallCaps w:val="false"/>
          <w:sz w:val="20"/>
          <w:bdr w:val="single" w:sz="12" w:space="1" w:color="000000"/>
        </w:rPr>
        <w:t>CDPR</w:t>
      </w:r>
      <w:r>
        <w:rPr>
          <w:rFonts w:ascii="Times New Roman;Times;Serif" w:hAnsi="Times New Roman;Times;Serif"/>
          <w:b w:val="false"/>
          <w:i w:val="false"/>
          <w:caps w:val="false"/>
          <w:smallCaps w:val="false"/>
          <w:sz w:val="20"/>
          <w:bdr w:val="single" w:sz="12" w:space="1" w:color="000000"/>
        </w:rPr>
        <w:t>”) and Warner Bros. Games to sell select game titles within certain territories in Asia. Together with Epicsoft Hong Kong, Epicsoft Malaysia and 2Game, Epicsoft Asia currently has one of the largest networks for video games distribution in Asia through resellers with more than 2,100 physical and online stores, and has sold more than 17.9 million of physical and digital copies of video games during the past three fiscal years. It has distributed in Asia four of the top ten best-selling video games of all times, three of which it is currently still selling. It is also responsible for bringing to Asia some award-winning all-time favorite video games, such as </w:t>
      </w:r>
      <w:r>
        <w:rPr>
          <w:rFonts w:ascii="Times New Roman;Times;Serif" w:hAnsi="Times New Roman;Times;Serif"/>
          <w:b w:val="false"/>
          <w:i/>
          <w:caps w:val="false"/>
          <w:smallCaps w:val="false"/>
          <w:sz w:val="20"/>
          <w:bdr w:val="single" w:sz="12" w:space="1" w:color="000000"/>
        </w:rPr>
        <w:t>Hogwarts Legacy, Grand Theft Auto IV, Grand Theft Auto V, Red Dead Redemption II, Cyberpunk 2077, The Witcher 3: Wild Hunt,</w:t>
      </w:r>
      <w:r>
        <w:rPr>
          <w:rFonts w:ascii="Times New Roman;Times;Serif" w:hAnsi="Times New Roman;Times;Serif"/>
          <w:b w:val="false"/>
          <w:i w:val="false"/>
          <w:caps w:val="false"/>
          <w:smallCaps w:val="false"/>
          <w:sz w:val="20"/>
          <w:bdr w:val="single" w:sz="12" w:space="1" w:color="000000"/>
        </w:rPr>
        <w:t>  </w:t>
      </w:r>
      <w:r>
        <w:rPr>
          <w:rFonts w:ascii="Times New Roman;Times;Serif" w:hAnsi="Times New Roman;Times;Serif"/>
          <w:b w:val="false"/>
          <w:i/>
          <w:caps w:val="false"/>
          <w:smallCaps w:val="false"/>
          <w:sz w:val="20"/>
          <w:bdr w:val="single" w:sz="12" w:space="1" w:color="000000"/>
        </w:rPr>
        <w:t xml:space="preserve">Elden Ring: Nightreign </w:t>
      </w:r>
      <w:r>
        <w:rPr>
          <w:rFonts w:ascii="Times New Roman;Times;Serif" w:hAnsi="Times New Roman;Times;Serif"/>
          <w:b w:val="false"/>
          <w:i w:val="false"/>
          <w:caps w:val="false"/>
          <w:smallCaps w:val="false"/>
          <w:sz w:val="20"/>
          <w:bdr w:val="single" w:sz="12" w:space="1" w:color="000000"/>
        </w:rPr>
        <w:t xml:space="preserve">and </w:t>
      </w:r>
      <w:r>
        <w:rPr>
          <w:rFonts w:ascii="Times New Roman;Times;Serif" w:hAnsi="Times New Roman;Times;Serif"/>
          <w:b w:val="false"/>
          <w:i/>
          <w:caps w:val="false"/>
          <w:smallCaps w:val="false"/>
          <w:sz w:val="20"/>
          <w:bdr w:val="single" w:sz="12" w:space="1" w:color="000000"/>
        </w:rPr>
        <w:t>Black Myth: Wukong</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GCL is a holding company incorporated as an exempted company under the laws of the Cayman Islands. As a holding company with no material operations on its own, we conduct all our operations through our subsidiaries in Singapore, Hong Kong, Malaysia, China, the United Kingdom, Japan, Brazil, Thailand, Taiwan and the United Arab Emirates</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Resale by Selling Shareholders pursuant to this prospectus</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relates to the resale from time to time of up to 2,201,665 Ordinary Shares issued in February 2025 in connection with the Business Combination (defined below) but held in escrow for the Selling Shareholders until March 2026 pursuant to certain Note Purchase Agreements dated between September 2024 and February 2025 among the Company, the Selling Shareholders and other parties named therein.</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For so long as the effective registration statement of which this prospectus forms a part is available for use, the Selling Shareholders can sell under this prospectus an aggregate of up to 2,201,665 ordinary shares . Although the number of Resale Shares represents less than 2% of the issued and outstanding ordinary shares of the Company, the perception in the market that certain shareholders may intend to sell up to 2,201,665 ordinary shares could increase the volatility of, or result in a significant decline in, the public trading price of our ordinary shares.</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Corporate Information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an exempted company incorporated in the Cayman Islands with limited liability. Our principal executive office is located at 29 Tai Seng Avenue #02-01, Natural Cool Lifestyle Hub, Singapore 534119. Our telephone number is +65 80427330. Our website is www.gclglobalholdings.com.</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 maintains a website at www.sec.gov which contains in electronic form each of the reports and other information that we have filed electronically with the SEC.</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agent for service of process in the United States is Cogency Global Inc., 122 East 42</w:t>
      </w:r>
      <w:r>
        <w:rPr>
          <w:rFonts w:ascii="Times New Roman;Times;Serif" w:hAnsi="Times New Roman;Times;Serif"/>
          <w:b w:val="false"/>
          <w:i w:val="false"/>
          <w:caps w:val="false"/>
          <w:smallCaps w:val="false"/>
          <w:position w:val="7"/>
          <w:sz w:val="16"/>
          <w:sz w:val="20"/>
          <w:bdr w:val="single" w:sz="12" w:space="1" w:color="000000"/>
        </w:rPr>
        <w:t>nd</w:t>
      </w:r>
      <w:r>
        <w:rPr>
          <w:rFonts w:ascii="Times New Roman;Times;Serif" w:hAnsi="Times New Roman;Times;Serif"/>
          <w:b w:val="false"/>
          <w:i w:val="false"/>
          <w:caps w:val="false"/>
          <w:smallCaps w:val="false"/>
          <w:sz w:val="20"/>
          <w:bdr w:val="single" w:sz="12" w:space="1" w:color="000000"/>
        </w:rPr>
        <w:t xml:space="preserve"> Street, 18</w:t>
      </w:r>
      <w:r>
        <w:rPr>
          <w:rFonts w:ascii="Times New Roman;Times;Serif" w:hAnsi="Times New Roman;Times;Serif"/>
          <w:b w:val="false"/>
          <w:i w:val="false"/>
          <w:caps w:val="false"/>
          <w:smallCaps w:val="false"/>
          <w:position w:val="7"/>
          <w:sz w:val="16"/>
          <w:sz w:val="20"/>
          <w:bdr w:val="single" w:sz="12" w:space="1" w:color="000000"/>
        </w:rPr>
        <w:t>th</w:t>
      </w:r>
      <w:r>
        <w:rPr>
          <w:rFonts w:ascii="Times New Roman;Times;Serif" w:hAnsi="Times New Roman;Times;Serif"/>
          <w:b w:val="false"/>
          <w:i w:val="false"/>
          <w:caps w:val="false"/>
          <w:smallCaps w:val="false"/>
          <w:sz w:val="20"/>
          <w:bdr w:val="single" w:sz="12" w:space="1" w:color="000000"/>
        </w:rPr>
        <w:t xml:space="preserve"> Floor, New York, New York 10168.</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Our Organizational Structure</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following chart illustrates the current corporate structure of GCL:</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drawing>
          <wp:inline distT="0" distB="0" distL="0" distR="0">
            <wp:extent cx="6191250" cy="6724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91250" cy="6724650"/>
                    </a:xfrm>
                    <a:prstGeom prst="rect">
                      <a:avLst/>
                    </a:prstGeom>
                  </pic:spPr>
                </pic:pic>
              </a:graphicData>
            </a:graphic>
          </wp:inline>
        </w:drawing>
      </w: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Names of entities abbreviated in chart:</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tbl>
      <w:tblPr>
        <w:tblW w:w="10085" w:type="dxa"/>
        <w:jc w:val="left"/>
        <w:tblInd w:w="0" w:type="dxa"/>
        <w:tblLayout w:type="fixed"/>
        <w:tblCellMar>
          <w:top w:w="0" w:type="dxa"/>
          <w:left w:w="0" w:type="dxa"/>
          <w:bottom w:w="28" w:type="dxa"/>
          <w:right w:w="0" w:type="dxa"/>
        </w:tblCellMar>
      </w:tblPr>
      <w:tblGrid>
        <w:gridCol w:w="1820"/>
        <w:gridCol w:w="60"/>
        <w:gridCol w:w="1895"/>
        <w:gridCol w:w="60"/>
        <w:gridCol w:w="1685"/>
        <w:gridCol w:w="60"/>
        <w:gridCol w:w="4505"/>
      </w:tblGrid>
      <w:tr>
        <w:trPr/>
        <w:tc>
          <w:tcPr>
            <w:tcW w:w="1820" w:type="dxa"/>
            <w:tcBorders>
              <w:bottom w:val="single" w:sz="12" w:space="0" w:color="000000"/>
            </w:tcBorders>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89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168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60" w:type="dxa"/>
            <w:tcBorders/>
            <w:tcMar>
              <w:bottom w:w="0" w:type="dxa"/>
            </w:tcMar>
            <w:vAlign w:val="center"/>
          </w:tcPr>
          <w:p>
            <w:pPr>
              <w:pStyle w:val="TableContents"/>
              <w:bidi w:val="0"/>
              <w:spacing w:before="0" w:after="283"/>
              <w:ind w:left="0" w:right="0" w:hanging="0"/>
              <w:jc w:val="center"/>
              <w:rPr>
                <w:caps w:val="false"/>
                <w:smallCaps w:val="false"/>
              </w:rPr>
            </w:pPr>
            <w:r>
              <w:rPr>
                <w:caps w:val="false"/>
                <w:smallCaps w:val="false"/>
              </w:rPr>
              <w:t> </w:t>
            </w:r>
          </w:p>
        </w:tc>
        <w:tc>
          <w:tcPr>
            <w:tcW w:w="4505" w:type="dxa"/>
            <w:tcBorders>
              <w:bottom w:val="single" w:sz="12"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Name</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 Limited</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Hong Kong</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(Hong Kong) Limited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Brazil</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Game Pro Ltda.</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Malaysia</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Malaysia Sdn. Bhd.</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Dubai</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2Game Digital DMCC</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SG</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Pte. Ltd.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Pte. Ltd.</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Taiwan</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Taiwan Co., Ltd.</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Hong Kong</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HK Ltd.</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GCL</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Hainan GCL Technology Co. Ltd.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UK</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UK Ltd.</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Martiangear Pte. Ltd.</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JP</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4Divinity Japan Ltd.</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Starry Jewelry</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Starry Jewelry Pte. Ltd.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Hub</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Hub Pte. Ltd.</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Shanghai</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Universe (Shanghai) Technology Co., Ltd.</w:t>
            </w:r>
          </w:p>
        </w:tc>
      </w:tr>
      <w:tr>
        <w:trPr/>
        <w:tc>
          <w:tcPr>
            <w:tcW w:w="182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Epicsoft Asia Pte. Ltd.</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Hangzhou</w:t>
            </w:r>
          </w:p>
        </w:tc>
        <w:tc>
          <w:tcPr>
            <w:tcW w:w="60" w:type="dxa"/>
            <w:tcBorders/>
            <w:shd w:fill="CCEE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Shenfang Interactive (Hangzhou) Technology Co., Ltd.</w:t>
            </w:r>
          </w:p>
        </w:tc>
      </w:tr>
      <w:tr>
        <w:trPr/>
        <w:tc>
          <w:tcPr>
            <w:tcW w:w="182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895"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68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Digital Media</w:t>
            </w:r>
          </w:p>
        </w:tc>
        <w:tc>
          <w:tcPr>
            <w:tcW w:w="60" w:type="dxa"/>
            <w:tcBorders/>
            <w:shd w:fill="FFFFFF" w:val="clear"/>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5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Titan Digital Media Pte. Ltd.</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1" w:color="000000"/>
        </w:rPr>
      </w:pPr>
      <w:bookmarkStart w:id="7" w:name="a_006"/>
      <w:bookmarkEnd w:id="7"/>
      <w:r>
        <w:rPr>
          <w:rFonts w:ascii="Times New Roman;Times;Serif" w:hAnsi="Times New Roman;Times;Serif"/>
          <w:b/>
          <w:i w:val="false"/>
          <w:caps w:val="false"/>
          <w:smallCaps w:val="false"/>
          <w:sz w:val="20"/>
          <w:bdr w:val="single" w:sz="12" w:space="1" w:color="000000"/>
        </w:rPr>
        <w:t>THE OFFERING</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This prospectus relates to the resale of up to 2,201,665 ordinary shares, that may be resold from time to time, by the Selling Shareholders, named in this prospectus. Any investment in the securities offered hereby is speculative and involves a high degree of risk. You should carefully consider the information set forth under “Risk Factors” of this prospectus as well as those contained in our most recent annual report on Form 20-F, and any updates to those risks in our reports on Form 6-K, in each case incorporated by reference herein, together with all of the other information appearing or incorporated by reference herein.</w:t>
      </w:r>
    </w:p>
    <w:p>
      <w:pPr>
        <w:pStyle w:val="TextBody"/>
        <w:bidi w:val="0"/>
        <w:spacing w:before="0" w:after="0"/>
        <w:ind w:left="0" w:right="0" w:firstLine="36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521"/>
        <w:gridCol w:w="60"/>
        <w:gridCol w:w="7624"/>
      </w:tblGrid>
      <w:tr>
        <w:trPr/>
        <w:tc>
          <w:tcPr>
            <w:tcW w:w="2521" w:type="dxa"/>
            <w:tcBorders/>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Issuer</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GCL Global Holdings Ltd</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Resale of Ordinary Shares</w:t>
            </w:r>
          </w:p>
        </w:tc>
        <w:tc>
          <w:tcPr>
            <w:tcW w:w="60" w:type="dxa"/>
            <w:tcBorders/>
            <w:vAlign w:val="center"/>
          </w:tcPr>
          <w:p>
            <w:pPr>
              <w:pStyle w:val="TableContents"/>
              <w:bidi w:val="0"/>
              <w:spacing w:before="0" w:after="283"/>
              <w:jc w:val="left"/>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The Ordinary Shares that may be offered and sold from time to time by the Selling Shareholders</w:t>
            </w:r>
          </w:p>
        </w:tc>
        <w:tc>
          <w:tcPr>
            <w:tcW w:w="60" w:type="dxa"/>
            <w:tcBorders/>
            <w:vAlign w:val="center"/>
          </w:tcPr>
          <w:p>
            <w:pPr>
              <w:pStyle w:val="TableContents"/>
              <w:bidi w:val="0"/>
              <w:spacing w:before="0" w:after="283"/>
              <w:jc w:val="left"/>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Up to 2,201,665 Ordinary Shares, par value $0.0001 per share.</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Terms of the Offering</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Selling Shareholders will determine when and how they will dispose of the securities being registered for resale by the Selling Shareholders registered under this prospectus. The securities offered by this prospectus may be offered and sold at prevailing market prices, privately negotiated prices or such other prices as the Selling Shareholders may determine. See the section titled “</w:t>
            </w:r>
            <w:r>
              <w:rPr>
                <w:rFonts w:ascii="Times New Roman;Times;Serif" w:hAnsi="Times New Roman;Times;Serif"/>
                <w:i/>
                <w:sz w:val="20"/>
              </w:rPr>
              <w:t>Plan of Distribution</w:t>
            </w:r>
            <w:r>
              <w:rPr>
                <w:rFonts w:ascii="Times New Roman;Times;Serif" w:hAnsi="Times New Roman;Times;Serif"/>
                <w:sz w:val="20"/>
              </w:rPr>
              <w:t>”.</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Use of proceeds</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will not receive any of the proceeds from the sale of the securities by the Selling Shareholders.</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Market for Ordinary Shares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Ordinary Shares are listed on The Nasdaq Global Select Market under the trading symbol “GCL”.</w:t>
            </w:r>
          </w:p>
        </w:tc>
      </w:tr>
      <w:tr>
        <w:trPr/>
        <w:tc>
          <w:tcPr>
            <w:tcW w:w="25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ind w:left="0" w:right="0" w:hanging="180"/>
              <w:jc w:val="both"/>
              <w:rPr/>
            </w:pPr>
            <w:r>
              <w:rPr/>
              <w:t> </w:t>
            </w:r>
          </w:p>
        </w:tc>
      </w:tr>
      <w:tr>
        <w:trPr/>
        <w:tc>
          <w:tcPr>
            <w:tcW w:w="252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Risk factors</w:t>
            </w:r>
          </w:p>
        </w:tc>
        <w:tc>
          <w:tcPr>
            <w:tcW w:w="60" w:type="dxa"/>
            <w:tcBorders/>
            <w:vAlign w:val="center"/>
          </w:tcPr>
          <w:p>
            <w:pPr>
              <w:pStyle w:val="TableContents"/>
              <w:bidi w:val="0"/>
              <w:spacing w:before="0" w:after="283"/>
              <w:jc w:val="both"/>
              <w:rPr/>
            </w:pPr>
            <w:r>
              <w:rPr/>
              <w:t> </w:t>
            </w:r>
          </w:p>
        </w:tc>
        <w:tc>
          <w:tcPr>
            <w:tcW w:w="76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investment in the securities offered hereby is speculative and involves a high degree of risk. See “</w:t>
            </w:r>
            <w:r>
              <w:rPr>
                <w:rFonts w:ascii="Times New Roman;Times;Serif" w:hAnsi="Times New Roman;Times;Serif"/>
                <w:i/>
                <w:sz w:val="20"/>
              </w:rPr>
              <w:t>Risk Factors</w:t>
            </w:r>
            <w:r>
              <w:rPr>
                <w:rFonts w:ascii="Times New Roman;Times;Serif" w:hAnsi="Times New Roman;Times;Serif"/>
                <w:sz w:val="20"/>
              </w:rPr>
              <w:t>” and similar sections in the documents we incorporate by reference into this prospectus for a discussion of factors you should consider carefully before making an investment decision.</w:t>
            </w:r>
          </w:p>
        </w:tc>
      </w:tr>
    </w:tbl>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RISK FACTORS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Our business and our industry are subject to significant risks. Investing in our securities involves risk. Before making an investment decision, you should carefully consider the risks described below, under “Risk Factors” in our most recent Annual Report on Form 20-F,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If any of these risks actually occur, our business, financial condition, results of operations, and growth prospects would likely be materially and adversely affected.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 risks not presently known to us or that we currently deem immaterial may also impair our business operations. The trading price and value of our securities could decline due to any of these risks, and you may lose all or part of your investment. This prospectus also contains forward-looking statements that involve risks and uncertainties. See the section entitled “Cautionary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is currently not in compliance with certain Nasdaq continued listing requirements; and if we are unable to regain compliance with Nasdaq’s continued listing requirements, our securities will be subject to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received a notice (the “Bid Price Notice”) from Nasdaq stating that the Company’s ordinary shares failed to comply with the minimum $1.00 per share requirement for continued listing on the Nasdaq under Nasdaq Listing Rule 5450(a)(1) (the “Minimum Bid Price Rule”). Pursuant to Nasdaq Listing Rule 5810(c)(3)(A), the Company has an initial period of 180 calendar days, or until September 14, 2026, to regain compliance (the “Bid Price Compliance Period”). Pursuant to the Bid Price Notice, if at any time during the Compliance Period the closing bid price of the ordinary shares is at least $1.00 for a minimum of ten consecutive business days, Nasdaq will provide the Company with written confirmation of compliance and such matter will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regain compliance with the Minimum Bid Price Rule during the Bid Price Compliance period, the Company may consider applying to transfer its securities from The Nasdaq Global Select Market to The Nasdaq Capital Market, provided that the Company meets the applicable market value of publicly held shares required for continued listing and all other applicable requirements for initial listing on The Nasdaq Capital Market (except for the bid price requirement). Such transfer would provide the Company with an additional 180 calendar days, or until March 15, 2027, to regain compliance. However, there can be no assurance that the Company would be eligible for the additional 180 calendar day compliance period, if applicable, or that the Nasdaq staff would grant the Company’s request for continued listing. If we are unable to regain compliance with any of these continued listing requirements, our securities will be subject to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the Selling Shareholders pursuant to this prospectus will be sold by the Selling Shareholders for their accounts. We will not receive any of the proceeds from these sales.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will pay any underwriting discounts and commissions and expenses incurred by the Selling Shareholders for brokerage, accounting, tax or legal services or any other expenses incurred by the Selling Shareholders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MATERIAL U.S. FEDERAL INCOME TAX CONSIDERATIONS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discussion of certain material U.S. federal income tax consequences of the ownership and disposition of Ordinary Shares for a U.S. Holder (as defined below). This discussion address only U.S. Holders that acquire Ordinary Shares in this offering. This discussion is for general information purposes only and does not purport to be a complete analysis or listing of all potential U.S. federal income tax consequences that may apply to a U.S. holder as a result of the ownership and disposition of Ordinary Shares. In addition, this discussion does not address all aspects of U.S. federal income taxation that may be relevant to particular holders nor does it take into account the individual facts and circumstances of any particular holder that may affect the U.S. federal income tax consequences to such holder, and accordingly, is not intended to be, and should not be construed as, tax advice.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provisions of the U.S. Internal Revenue Code of 1986, as amended (the “Code”), the U.S. Treasury Regulations promulgated thereunder (whether final, temporary, or proposed) (the “Treasury Regulations”), published administrative rulings of the IRS, and judicial decisions, all as in effect on the date hereof. Any of the authorities on which this summary is based could be changed in a material and adverse manner at any time, and any such change could be applied on a retroactive or prospective basis which could affect the U.S. federal income tax considerations described in this summary. This discussion does not address the U.S. federal 3.8% Medicare tax imposed on certain net investment income or any aspects of U.S. federal taxation other than those pertaining to the income tax, nor does it address any tax consequences arising under any U.S. state and local, or non-U.S. tax laws. U.S. Holders should consult their own tax advisors regarding such tax consequences in light of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sought any rulings from the IRS with respect to the statements made and the positions or conclusions described in this summary; thus, there can be no assurance that the IRS will not challenge the U.S. federal income tax treatment described below or that, if challenged, such treatment will be sustained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considerations relevant to U.S. Holders that hold Ordinary Shares as “capital assets” within the meaning of section 1221 of the Code (generally, property held for investment). This discussion does not address all aspects of U.S. federal income taxation that may be important to holders in light of their individual circumstances, including holders subject to special treatment under the U.S. tax laws, such as, for example:</w:t>
      </w:r>
    </w:p>
    <w:p>
      <w:pPr>
        <w:pStyle w:val="TextBody"/>
        <w:bidi w:val="0"/>
        <w:spacing w:before="0" w:after="0"/>
        <w:ind w:left="0" w:right="0" w:firstLine="360"/>
        <w:jc w:val="both"/>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or other financial institutions, underwriters, or insurance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brokers or dealers in securities or currencies or holders that are traders in securities who elect to apply a mark-to-market method of accounting;</w:t>
            </w:r>
          </w:p>
        </w:tc>
      </w:tr>
    </w:tbl>
    <w:p>
      <w:pPr>
        <w:pStyle w:val="TextBody"/>
        <w:bidi w:val="0"/>
        <w:spacing w:before="0" w:after="0"/>
        <w:ind w:left="0" w:right="0" w:firstLine="360"/>
        <w:jc w:val="both"/>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 and regulated investment companies;</w:t>
            </w:r>
          </w:p>
        </w:tc>
      </w:tr>
    </w:tbl>
    <w:p>
      <w:pPr>
        <w:pStyle w:val="TextBody"/>
        <w:bidi w:val="0"/>
        <w:spacing w:before="0" w:after="0"/>
        <w:ind w:left="0" w:right="0" w:firstLine="36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 qualified retirement plans, individual retirement accounts, or other tax-deferred accounts;</w:t>
            </w:r>
          </w:p>
        </w:tc>
      </w:tr>
    </w:tbl>
    <w:p>
      <w:pPr>
        <w:pStyle w:val="TextBody"/>
        <w:bidi w:val="0"/>
        <w:spacing w:before="0" w:after="0"/>
        <w:ind w:left="0" w:right="0" w:firstLine="36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75"/>
        <w:gridCol w:w="170"/>
        <w:gridCol w:w="5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expatriates or former citizens or long-term residents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subchapter S corporations, partnerships or other pass-through entities or investors in such entities;</w:t>
            </w:r>
          </w:p>
        </w:tc>
      </w:tr>
    </w:tbl>
    <w:p>
      <w:pPr>
        <w:pStyle w:val="TextBody"/>
        <w:bidi w:val="0"/>
        <w:spacing w:before="0" w:after="0"/>
        <w:ind w:left="0" w:right="0" w:firstLine="36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holder that is not a U.S. Holder;</w:t>
            </w:r>
          </w:p>
        </w:tc>
      </w:tr>
    </w:tbl>
    <w:p>
      <w:pPr>
        <w:pStyle w:val="TextBody"/>
        <w:bidi w:val="0"/>
        <w:spacing w:before="0" w:after="0"/>
        <w:ind w:left="0" w:right="0" w:firstLine="36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dealers or traders in securities, commodities or currencies;</w:t>
            </w:r>
          </w:p>
        </w:tc>
      </w:tr>
    </w:tbl>
    <w:p>
      <w:pPr>
        <w:pStyle w:val="TextBody"/>
        <w:bidi w:val="0"/>
        <w:spacing w:before="0" w:after="0"/>
        <w:ind w:left="0" w:right="0" w:hanging="0"/>
        <w:jc w:val="left"/>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170"/>
        <w:gridCol w:w="11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grantor trusts;</w:t>
            </w:r>
          </w:p>
        </w:tc>
      </w:tr>
    </w:tbl>
    <w:p>
      <w:pPr>
        <w:pStyle w:val="TextBody"/>
        <w:bidi w:val="0"/>
        <w:spacing w:before="0" w:after="0"/>
        <w:ind w:left="0" w:right="0" w:firstLine="36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subject to the alternative minimum tax;</w:t>
            </w:r>
          </w:p>
        </w:tc>
      </w:tr>
    </w:tbl>
    <w:p>
      <w:pPr>
        <w:pStyle w:val="TextBody"/>
        <w:bidi w:val="0"/>
        <w:spacing w:before="0" w:after="0"/>
        <w:ind w:left="0" w:right="0" w:firstLine="36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75"/>
        <w:gridCol w:w="170"/>
        <w:gridCol w:w="5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persons whose “functional currency” is not the U.S. dollar;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received shares of Ordinary Shares through the issuance of restricted stock under an equity incentive plan or through a tax-qualified retirement plan or otherwise as compensation;</w:t>
            </w:r>
          </w:p>
        </w:tc>
      </w:tr>
    </w:tbl>
    <w:p>
      <w:pPr>
        <w:pStyle w:val="TextBody"/>
        <w:bidi w:val="0"/>
        <w:spacing w:before="0" w:after="0"/>
        <w:ind w:left="0" w:right="0" w:firstLine="36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who own (directly or through attribution) 5% or more (by vote or value) of the issued shares of the Company;</w:t>
            </w:r>
          </w:p>
        </w:tc>
      </w:tr>
    </w:tbl>
    <w:p>
      <w:pPr>
        <w:pStyle w:val="TextBody"/>
        <w:bidi w:val="0"/>
        <w:spacing w:before="0" w:after="0"/>
        <w:ind w:left="0" w:right="0" w:firstLine="36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170"/>
        <w:gridCol w:w="2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officers or directors;</w:t>
            </w:r>
          </w:p>
        </w:tc>
      </w:tr>
    </w:tbl>
    <w:p>
      <w:pPr>
        <w:pStyle w:val="TextBody"/>
        <w:bidi w:val="0"/>
        <w:spacing w:before="0" w:after="0"/>
        <w:ind w:left="0" w:right="0" w:firstLine="360"/>
        <w:jc w:val="both"/>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170"/>
        <w:gridCol w:w="5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hold Warrants or other rights to acquire Ordinary Shares;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holding Ordinary Shares as a position in a “straddle,” as part of a “synthetic security” or “hedge,” as part of a “conversion transaction,” or other integrated investment or risk reduction transaction;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“U.S. Holder” means a beneficial owner of Ordinary Shares for U.S. federal income tax purposes:</w:t>
      </w:r>
    </w:p>
    <w:p>
      <w:pPr>
        <w:pStyle w:val="TextBody"/>
        <w:bidi w:val="0"/>
        <w:spacing w:before="0" w:after="0"/>
        <w:ind w:left="0" w:right="0" w:firstLine="36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other entity that is classified as a corporation for U.S. federal income tax purposes) that is created or organized in or under the laws of the United States or any State thereof or the District of Columbia;</w:t>
            </w:r>
          </w:p>
        </w:tc>
      </w:tr>
    </w:tbl>
    <w:p>
      <w:pPr>
        <w:pStyle w:val="TextBody"/>
        <w:bidi w:val="0"/>
        <w:spacing w:before="0" w:after="0"/>
        <w:ind w:left="0" w:right="0" w:firstLine="36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 regardless of its source; or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 the administration of which is subject to the primary supervision of a U.S. court and which has one or more “United States persons” (within the meaning of Section 7701(a)(30) of the Code) who have the authority to control all substantial decisions of the trust or (ii) that has made a valid election under applicable Treasury Regulations to be treated as a United States person.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for this purpose any entity or arrangement that is treated as a partnership for U.S. federal income tax purposes, holds Ordinary Shares, the U.S. federal income tax treatment of a partner in such partnership will generally depend on the status of the partner and the activities of the partnership. This discussion does not address the tax consequences to any such partner or partnership. A holder that is a partnership and the partners in such partnership should consult their own tax advisors with regard to the U.S. federal income tax consequences of the ownership and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DOES NOT PURPORT TO BE A COMPREHENSIVE ANALYSIS OR DESCRIPTION OF ALL POTENTIAL U.S. FEDERAL INCOME TAX CONSEQUENCES OF THE OWNERSHIP AND DISPOSITION OF ORDINARY SHARES. IN ADDITION, THE U.S. FEDERAL INCOME TAX TREATMENT OF THE BENEFICIAL OWNERS OF ORDINARY SHARES MAY BE AFFECTED BY MATTERS NOT DISCUSSED HEREIN AND DEPENDS IN SOME INSTANCES ON DETERMINATIONS OF FACT AND INTERPRETATIONS OF COMPLEX PROVISIONS OF U.S. FEDERAL INCOME TAX LAW FOR WHICH NO CLEAR PRECEDENT OR AUTHORITY MAY BE AVAILABLE. HOLDERS SHOULD CONSULT WITH THEIR TAX ADVISORS REGARDING THE PARTICULAR TAX CONSEQUENCES TO THEM OF THE OWNERSHIP AND DISPOSITION OF ORDINARY SHARES, INCLUDING THE APPLICABILITY AND EFFECTS OF U.S. FEDERAL, STATE, LOCAL,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Treatment of PubCo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is generally considered for U.S. federal income tax purposes to be a tax resident in the jurisdiction of its organization and incorporation. Accordingly, under generally applicable U.S. federal income tax rules, PubCo, which is incorporated under the laws of the Cayman Islands, would be classified as a non-U.S. corporation (and, therefore, not a U.S. tax resident) for U.S. federal income tax purposes. Section 7874 of the Code provides an exception to this general rule (more fully discussed below), under which a non-U.S. incorporated entity may, in certain circumstances, be treated as a U.S. corporation for U.S. federal income tax purposes. These rules are complex and there is limited guidance regarding their application.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7874 of the Code, a corporation created or organized outside the United States (i.e., a non-U.S. corporation) will nevertheless be treated as a U.S. corporation for U.S. federal income tax purposes (and, therefore, as a U.S. tax resident subject to U.S. federal income tax on its worldwide income) if each of the following three conditions are met: (i) the non-U.S. corporation, directly or indirectly, acquires substantially all of the properties held directly or indirectly by a U.S. corporation (including through the acquisition of all of the outstanding shares of the U.S. corporation); (ii) the non-U.S. corporation’s “expanded affiliate group” does not have “substantial business activities” in the non-U.S. corporation’s country of organization or incorporation and (iii) after the acquisition, the former shareholders of the acquired U.S. corporation hold at least 80% (by either vote or value) of the shares of the non-U.S. acquiring corporation by reason of holding shares in the U.S. acquired corporation (taking into account the receipt of the non-U.S. corporation’s shares in exchange for the U.S. corporation’s shares) as determined for purposes of Section 7874 (this test is referred to as the “ownership test”). The ownership test in clause (iii) above is modified with respect to potential “third-country transactions” such that the ownership test will be met if, after the acquisition, the former shareholders of the acquired U.S. corporation hold at least 60% (by either vote or value) of the shares of the non-U.S. acquiring corporation by reason of holding shares in the U.S. acquired corporation (as modified, the “modified ownership test”). Because the Business Combination was a potential third-country transaction, the potential Section 7874 treatment of PubCo was determined using the modified ownership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7874 of the Code, the first two conditions described above were expected be met with respect to the Business Combination because PubCo acquired indirectly all of the assets of RFAC through the SPAC Merger, and PubCo, including its “expanded affiliate group,” was not expected to satisfy the substantial business activities test upon consummation of the Business Combination. As a result, whether Section 7874 applied to cause PubCo to be treated as a U.S. corporation for U.S. federal income tax purposes following the Business Combination potentially depended on the satisfaction of the modified ownership 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terms of the Business Combination, the rules for determining share ownership under Section 7874 of the Code and the Treasury Regulations promulgated thereunder, and certain factual assumptions, the Section 7874 ownership percentage of the RFAC stockholders in PubCo is expected to have been less than 60%. Accordingly, PubCo is not expected to be treated as a U.S. corporation for U.S. federal income tax purposes under Section 7874 of the Code. However, the calculations for determining share ownership for purposes of the ownership test under Section 7874 of the Code are complex, subject to detailed rules and regulations (the application of which is uncertain in various respects and could be impacted by changes to applicable rules and regulations under U.S. federal income tax laws, with possible retroactive effect), and subject to certain factual uncertainties. Furthermore, for purposes of determining the ownership percentage of RFAC stockholders for purposes of Section 7874, among other adjustments required to be taken into account, RFAC stockholders will be deemed to own an amount of PubCo Ordinary Shares in respect to certain redemptions by RFAC prior to the SPAC Merger. Accordingly, given the inherently factual nature of the analysis, neither RFAC nor PubCo has sought a legal opinion from counsel in respect of the potential applicability of Section 7874 to the Business Combination, and there can be no assurance that the IRS would not assert a contrary position to those described above or that such an assertion would not be sustained by a court.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PubCo were to be treated as a U.S. corporation for U.S. federal income tax purposes, it could be subject to substantial liability for additional U.S. income taxes, and the gross amount of any dividend payments to its non-U.S. investors could be subject to U.S. withholding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discussion assumes that PubCo will not be treated as a U.S. corporation for U.S. federal income tax purposes under Section 7874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Consequences of Ownership and Disposition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 on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PFIC rules discussed below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 a U.S. Holder generally will be required to include in gross income any distribution of cash or property paid on Ordinary Shares that is treated as a dividend for U.S. federal income tax purposes. A distribution on such shares generally will be treated as a dividend for U.S. federal income tax purposes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Dividends received by non-corporate U.S. Holders from a “qualified foreign corporation” may be eligible for reduced rates of taxation, provided that certain holding period requirements and other conditions are satisfied. For these purposes, a non-U.S. corporation will be treated as a qualified foreign corporation with respect to dividends paid by that corporation on shares that are readily tradable on an established securities market in the United States. The Treasury guidance indicates that shares listed on the Nasdaq will be considered readily tradable on an established securities market in the United States. Although the Ordinary Shares are currently listed on the Nasdaq, there can be no assurance that the Ordinary Shares will be considered readily tradable on an established securities market in future years. Non-corporate U.S. Holders that do not meet a minimum holding period requirement or that elect to treat the dividend income as “investment income” pursuant to Section 163(d)(4) of the Code (dealing with the deduction for investment interest expense) will not be eligible for the reduced rates of taxation regardless of our status as a qualified foreign corporation. In addition, the rate reduction will not apply to dividends if the recipient of a dividend is obligated to make related payments with respect to positions in substantially similar or related property. This disallowance applies even if the minimum holding period has been met. Finally, we will not constitute a qualified foreign corporation for purposes of these rules if we are a PFIC for the taxable year in which we pay a dividend or for the preceding taxable year. See the discussion below under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any dividend paid in foreign currency will be the U.S. dollar value of the foreign currency distributed by us, calculated by reference to the spot exchange rate in effect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that the amount of any distribution made by us on the Ordinary Shares exceeds our current and accumulated earnings and profits for a taxable year (as determined under U.S. federal income tax principles), the distribution will first be treated as a tax-free return of capital, causing a reduction in the adjusted basis of the U.S. Holder’s Ordinary Shares, and to the extent the amount of the distribution exceeds the U.S. Holder’s tax basis, the excess will be taxed as capital gain recognized on a sale or exchange as described below under “— </w:t>
      </w:r>
      <w:r>
        <w:rPr>
          <w:rFonts w:ascii="Times New Roman;Times;Serif" w:hAnsi="Times New Roman;Times;Serif"/>
          <w:b w:val="false"/>
          <w:i/>
          <w:caps w:val="false"/>
          <w:smallCaps w:val="false"/>
          <w:sz w:val="20"/>
        </w:rPr>
        <w:t>Sale, Exchange, Redemption or Other Taxable Disposition of Ordinary Shares</w:t>
      </w:r>
      <w:r>
        <w:rPr>
          <w:rFonts w:ascii="Times New Roman;Times;Serif" w:hAnsi="Times New Roman;Times;Serif"/>
          <w:b w:val="false"/>
          <w:i w:val="false"/>
          <w:caps w:val="false"/>
          <w:smallCaps w:val="false"/>
          <w:sz w:val="20"/>
        </w:rPr>
        <w:t>.” However, we may not calculate earnings and profits in accordance with U.S. federal income tax principles. In such event, a U.S. Holder should expect to generally treat distributions we make as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Exchange, Redemption or Other Taxable Disposition of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discussion below under “— </w:t>
      </w:r>
      <w:r>
        <w:rPr>
          <w:rFonts w:ascii="Times New Roman;Times;Serif" w:hAnsi="Times New Roman;Times;Serif"/>
          <w:b w:val="false"/>
          <w:i/>
          <w:caps w:val="false"/>
          <w:smallCaps w:val="false"/>
          <w:sz w:val="20"/>
        </w:rPr>
        <w:t>Passive Foreign Investment Company Status</w:t>
      </w:r>
      <w:r>
        <w:rPr>
          <w:rFonts w:ascii="Times New Roman;Times;Serif" w:hAnsi="Times New Roman;Times;Serif"/>
          <w:b w:val="false"/>
          <w:i w:val="false"/>
          <w:caps w:val="false"/>
          <w:smallCaps w:val="false"/>
          <w:sz w:val="20"/>
        </w:rPr>
        <w:t>,” a U.S. Holder will generally recognize gain or loss on any sale, exchange, or other taxable disposition of Ordinary Shares in an amount equal to the difference between the amount realized on the disposition and such U.S. Holder’s adjusted tax basis in such Ordinary Shares. Any gain or loss recognized by a U.S. Holder on a taxable disposition of Ordinary Shares will generally be capital gain or loss and will be long-term capital gain or loss if the holder’s holding period in the Ordinary Shares exceeds one year at the time of the disposition. Preferential tax rates may apply to long-term capital gains of non-corporate U.S. Holders. The deductibility of capital losses is subject to limitations. Any gain or loss recognized by a U.S. Holder on the sale or exchange of Ordinary Shares will generally be treated as U.S. source gain or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adverse U.S. federal income tax consequences could apply to a U.S. Holder if we are treated as a PFIC for any taxable year during which U.S. Holders hold our securities. A foreign (i.e., non-U.S.) corporation will be classified as a PFIC for U.S. federal income tax purposes if at least 75% of its gross income in a taxable year, including its pro rata share of the gross income of any entity in which it is considered to own at least 25% of the interest by value, is passive income. Alternatively, a foreign corporation will be a PFIC if at least 50% of its assets in a taxable year, ordinarily determined based on fair market value and averaged quarterly over the year, including its pro rata share of the assets of any entity in which it is considered to own at least 25% of the interest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pStyle w:val="TextBody"/>
        <w:bidi w:val="0"/>
        <w:spacing w:before="0" w:after="0"/>
        <w:ind w:left="14" w:right="0" w:firstLine="360"/>
        <w:jc w:val="both"/>
        <w:rPr>
          <w:caps w:val="false"/>
          <w:smallCaps w:val="false"/>
        </w:rPr>
      </w:pPr>
      <w:r>
        <w:rPr>
          <w:caps w:val="false"/>
          <w:smallCaps w:val="false"/>
        </w:rPr>
        <w:t> </w:t>
      </w:r>
    </w:p>
    <w:p>
      <w:pPr>
        <w:pStyle w:val="TextBody"/>
        <w:bidi w:val="0"/>
        <w:spacing w:before="0" w:after="0"/>
        <w:ind w:left="14"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4"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whether we are a PFIC is a fact-intensive determination made on an annual basis applying principles and methodologies that in some circumstances are unclear and subject to varying interpretation. Under the income test described above, our status as a PFIC depends on the composition of our income which will depend on the transactions we enter into in the future and our corporate structure. The composition of our income and assets is also affected by the spending of the cash we raise in any offering, including this offering. We do not currently expect to be a PFIC for U.S. federal income tax purposes, but this conclusion is a factual determination made annually and, thus, is subject to change. Our U.S. counsel expresses no opinion with respect to our PFIC status for any taxable year. We urge U.S. Holders to consult their own tax advisors regarding the possible application of the PFIC rules in light of their individual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Holders are required to report information to the Internal Revenue Service relating to an interest in “specified foreign financial assets,” including shares issued by a non-United States corporation, for any year in which the aggregate value of all specified foreign financial assets exceeds $50,000 (or a higher dollar amount prescribed by the Internal Revenue Service), subject to certain exceptions (including an exception for shares held in custodial accounts maintained with a U.S. financial institution). These rules also impose penalties if a U.S. Holder is required to submit such information to the Internal Revenue Service and fails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dividend payments with respect to our Ordinary Shares and proceeds from the sale, exchange or redemption of our Ordinary Shares may be subject to additional information reporting to the IRS and possible U.S. backup withholding. Backup withholding will not apply, however, to a U.S. Holder who furnishes a correct taxpayer identification number and makes any other required certification on IRS Form W-9 or who is otherwise exempt from backup withholding. U.S. Holders who are required to establish their exempt status generally must provide such certification on IRS Form W-9. U.S. Holders are urged to consult their tax advisors regarding the application of the U.S. information reporting and backup withholding rules.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We do not intend to withhold taxes for individual shareholders. However, transactions effected through certain brokers or other intermediaries may be subject to withholding taxes (including backup withholding), and such brokers or intermediaries may be required by law to withhold such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PURPOSES ONLY. IT IS NOT TAX ADVICE. EACH PROSPECTIVE INVESTOR SHOULD CONSULT ITS OWN TAX ADVISOR REGARDING THE PARTICULAR U.S. FEDERAL, STATE, LOCAL AND FOREIGN TAX CONSEQUENCES OF PURCHASING, HOLDING AND DISPOSING OF OUR ORDINARY SHARES, INCLUDING THE CONSEQUENCES OF ANY PROPOSED CHANGE IN APPLICABLE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 is a Cayman Islands company incorporated with limited liability and our affairs are governed by the provisions of its Amended and Restated Memorandum and Articles of Association (the “Company Charter”), as amended and restated from time to time, and by the provisions of applicable Cayman Islands law, including the Companies Act and the common law of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registration number in the Cayman Islands is 403942. As provided in the Company Charter, subject to Cayman Islands law, we have full power and authority to carry out any object not prohibited by the laws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certain terms of our shares as set out more particularly in the of the Company Charter. Because it is only a summary, it may not contain all the information that is important to you. We urge you to read the applicable provisions of Cayman Islands law and the Company Charter carefully and in their entirety because they describe your rights as a holder of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shares of the Company consist of US$50,000 divided into 500,000,000 Shares of a par value of US$0.0001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the Company’s shares are deemed to be issued when the name of the shareholder is entered in our register of members. Our register of members is maintained by our transfer agent Continental Stock Transfer &amp; Trust Company (“Continental Stock”). If (a) information that is required to be entered in the register of members is omitted from the register or is inaccurately entered in the register, or (b) there is unreasonable delay in entering information in the register, without sufficient cause, a shareholder of the Company, or any person who is aggrieved by the omission, inaccuracy or delay, may apply to the Cayman Islands Court for an order that the register be rectified, and the Court may either refuse the application or order the rectification of the register, and may direct the Company to pay all costs of the application and any damages the applicant may have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rights of holders of our Ordinary Shares:</w:t>
      </w:r>
    </w:p>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holder of Ordinary Shares is entitled to one vote per share on all matters to be voted on by shareholders generally, including the appointment of directors;</w:t>
            </w:r>
          </w:p>
        </w:tc>
      </w:tr>
    </w:tbl>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holders of our Ordinary Shares are entitled to dividends and other distributions, as may be declared from time to time by our board of directors out of funds legally available for that purpose, if any, and pursuant to the Company Charter, all dividends unclaimed for three years from the date the dividend became due for payment shall be forfeited and shall revert to the Company; and</w:t>
            </w:r>
          </w:p>
        </w:tc>
      </w:tr>
    </w:tbl>
    <w:p>
      <w:pPr>
        <w:pStyle w:val="TextBody"/>
        <w:bidi w:val="0"/>
        <w:spacing w:before="0" w:after="0"/>
        <w:ind w:left="10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our liquidation, dissolution or winding up, the holders of Ordinary Shares will be entitled to share ratably, in the distribution of all of our assets remaining available for distribution after satisfaction of all our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Preference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privileges of Ordinary Shares are subject to, and may be adversely affected by, the rights of the holders of any other class of shares that we may designate in the future having such rights as specified by the board of directors pursuant to the resolution of directors approving the creation of such class of shares. The directors shall not require any approval of the shareholders or any class of shareholders in respect of the creation or issuance of preference shares. However, any related amendment to the Company Charter will require approval of our shareholders by way of special resolution (which requires a majority of not less than two-thirds).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do not have any preemptive or other rights to subscribe for additional shares pursuant to the Company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certain relevant provisions of Cayman Islands law and the Company Charter in relation to our shareholders’ meetings: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may convene meetings of shareholders at such times and in such manner and places within or outside the Cayman Islands as the directors consider necessary or desirable. There is no requirement for the Company to hold annual general meetings;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shareholders holding not less than twenty percent (20%) in par value of the issued shares which as at that date carry the right to vote at general meetings shall have the ability to requisition a general meeting;</w:t>
            </w:r>
          </w:p>
        </w:tc>
      </w:tr>
    </w:tbl>
    <w:p>
      <w:pPr>
        <w:pStyle w:val="TextBody"/>
        <w:bidi w:val="0"/>
        <w:spacing w:before="0" w:after="0"/>
        <w:ind w:left="720" w:right="0" w:hanging="360"/>
        <w:jc w:val="both"/>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170"/>
        <w:gridCol w:w="9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convening a meeting of shareholders must give not less than ten days’ clear notice of the proposed meeting;</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shareholder may be represented at a meeting of shareholders by a proxy who may speak and vote on behalf of the shareholder;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business may be transacted at a general meeting unless a quorum is present. A quorum is those shareholders present in person or by proxy or by a duly authorised representative holding shares entitled to vote on the business to be transacted which represent not less than one-third of all issued shares, unless the Company has only one shareholder in which case that shareholder alone constitutes a quorum;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of shareholders is passed by a simple majority of such shareholders as, being entitled to do so, vote in person or, where proxies are allowed, by proxy at a general meeting of the Company and where a poll is taken regard shall be had in computing a majority to the number of votes to which each shareholder is entitled by the Company Charter;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special resolution of shareholders is passed by a majority of not less than two-thirds of such shareholders as, being entitled to do so, vote in person or, where proxies are allowed, by proxy at a general meeting of the Company of which notice specifying the intention to propose the resolution as a special resolution has been duly given and where a poll is taken regard shall be had in computing a majority to the number of votes to which each shareholder is entitled.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Charter does not permit the adoption by the shareholders of resolutions in writing. A shareholder resolution must be passed at a meeting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have no general right under the Company Charter to bring business before a general meeting of the Company, save in the case of any shareholders right to requisition a general meeting provided the minimum shareholder requirement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be appointed by an ordinary resolution of the shareholders. Alternatively, the Company board of directors may, by the affirmative vote of a simple majority of the directors present and voting at a board meeting appoint any person as a director to fill a casual vacancy on the board or as an addition to the existing board. The Company directors are not automatically subject to a term of office and hold office until such time as their office is vacated or where they are removed from office by an ordinary resolution of shareholders or otherwise in accordance with the Company Charter. In addition, a director will cease to be a director if, among other things the director (i) becomes bankrupt or makes any arrangement or composition with his or her creditors: (ii) dies or is found to be or becomes of unsound mind within the scope of the Company Charter: (iii) resigns his or her office by notice in writing to the Company; (iv) without special leave of absence from the Company Board, is absent from board meetings for a continuous period of 6 months and the Company directors resolve that his or her office be vacated; (v) by notice in writing signed by not less than three-fourths of all the Company directors in number; or (vi) is removed from office pursuant to any other provision of the Company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are appointed by and serve at the discretion of the board of directors, and may be removed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the Company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ind w:left="720" w:right="0" w:hanging="36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acts or proposes to act illegally or ultra vires;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act complained of, although not ultra vires, could only be effected duly if authorized by more than the number of votes which have actually been obtained; and</w:t>
            </w:r>
          </w:p>
        </w:tc>
      </w:tr>
    </w:tbl>
    <w:p>
      <w:pPr>
        <w:pStyle w:val="TextBody"/>
        <w:bidi w:val="0"/>
        <w:spacing w:before="0" w:after="0"/>
        <w:ind w:left="720" w:right="0" w:hanging="36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not complete and is subject to, and is qualified in its entirety by reference to, the provisions of the Warrant Agreement, dated as of March 23, 2022, by and between RFAC and Continental Stock Transfer &amp; Trust Company (the “2022 Warrant Agreement”), which was filed as Exhibit 4.5 to the registration statement (333-261765).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2025, the Company, RFAC and Continental Stock Transfer &amp; Trust Company entered into the Assignment, Assumption and Amendment Agreement (the “Amended Warrant Agreement”), pursuant to which, among other things, effective as of the Effective Time, the Company assumed the obligations of RFAC under the 2022 Warrant Agreement. Pursuant to the Business Combination Agreement and the Amended Warrant Agreement, each issued and outstanding warrant of RFAC sold to the public and to the Sponsor and EarlyBirdCapital in a private placement in connection with RFAC’s initial public offering was exchanged for a corresponding warrant exercisable for the Company’s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the same terms as the RFAC Warrants. Each whole Warrant entitles the registered holder to purchase one Ordinary Share at a price of $11.50 per share, subject to adjustment as discussed below, at any time commencing 30 days after the completion of our Business Combination; provided that we have an effective registration statement under the Securities Act covering the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Ordinary Shares. This means only a whole Warrant may be exercised at a given time by a warrant holder. The Warrants will expire five years after the completion of our Business Combination,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any Ordinary Share upon exercise of a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Ordinary Share underlying such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Ordinary Shares issuable upon exercise of the Warrants on a Registration Statement on Form S-1 (File No. 333-261765) because the Warrants will become exercisable 30 days after the completion of its Business Combination, which may be within one year of our Initial Public Offering. However, because the Warrants will be exercisable until their expiration date of up to five years after the completion of our Business Combination, in order to comply with the requirements of Section 10(a)(3) of the Securities Act following the consummation of our Business Combination, under the terms of the warrant agreement, we filed a registration statement Form F-1 (333-286361) on April 3, 2025 for the ordinary shares issuable upon exercise of the these Warrants, which was declared effective by the SEC on April 7, 2025. On May 13, 2026, we filed a post-effective amendment to this registration statement which was declared effective on May 18, 2026. We will use our best efforts to maintain a current prospectus relating to the Ordinary Shares issuable upon exercise of the Warrants until the expiration of the Warrants in accordance with the provisions of the warrant agreement. Notwithstanding the above, if our Ordinary Shares are at the time of any exercise of a Warrant no longer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Warrants become exercisable, we may call the Warrants for redemption for cash:</w:t>
      </w:r>
    </w:p>
    <w:p>
      <w:pPr>
        <w:pStyle w:val="TextBody"/>
        <w:bidi w:val="0"/>
        <w:spacing w:before="0" w:after="0"/>
        <w:ind w:left="720" w:right="0" w:hanging="36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whole and not in part;</w:t>
            </w:r>
          </w:p>
        </w:tc>
      </w:tr>
    </w:tbl>
    <w:p>
      <w:pPr>
        <w:pStyle w:val="TextBody"/>
        <w:bidi w:val="0"/>
        <w:spacing w:before="0" w:after="0"/>
        <w:ind w:left="720" w:right="0" w:hanging="36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170"/>
        <w:gridCol w:w="2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 price of $0.01 per Warrant;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not less than 30 days’ prior written notice of redemption (the “30-day redemption period”) to each warrant holder;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and only if, the closing price of the common stock equals or exceeds $18.00 per share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for any 20 trading days within a 30-trading day period ending three business days before we send to the notice of redemption to the warrant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Warrants become redeemable by us for cash, we may exercise our redemption right even if we are unable to register or qualify the underlying securities for sale under all applicable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stock splits, stock capitalizations, reorganizations, recapitalizations and the like and for certain issuances of Ordinary Shares and equity-linked securities for capital raising purposes in connection with the closing of our Business Combination as described elsewhere in this Annual Report) as well as the $11.50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Warrants for redemption as described 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Ordinary Shares issuable upon the exercise of our Warrants. If our Management takes advantage of this option, all holders of Warrants would pay the exercise price by surrendering their Warrants for that number of Ordinary Shares equal to the quotient obtained by dividing (x) the product of the number of Ordinary Shares underlying the Warrants, multiplied by the excess of the “fair market value” of our Ordinary Shares (defined below) over the exercise price of the Warrants by (y) the fair market value. The “fair market value” will mean the average closing price of the Ordinary Shares for the five trading days ending on the third trading day prior to the date on which the notice of redemption is sent to the holders of Warrants. If our Management takes advantage of this option, the notice of redemption will contain the information necessary to calculate the number of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Warrant may notify us in writing if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Ordinary Shares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Ordinary Shares is increased by a share capitalization payable in Ordinary Shares, or by a split-up of common stock or other similar event, then, on the effective date of such share capitalization, split-up or similar event, the number of Ordinary Shares issuable on exercise of each Warrant will be increased in proportion to such increase in the outstanding shares of common stock. A Rights offering to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five trading day period ending on the trading day prior to the first date on which the Ordinary Shares trades on the applicable exchange or in the applicable market, regular way, without the right to receive such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Warrants are outstanding and unexpired, pay a dividend or make a distribution in cash, securities or other assets to the holders of Ordinary Shares on account of such Ordinary Shares (or other securities into which the Warrants are convertible), other than (a) as described above, (b) certain ordinary cash dividends, (c) to satisfy the redemption rights of the holders of Ordinary Shares in connection with a proposed Business Combination, or (d) in connection with the redemption of our public shares upon our failure to complete our Business Combination, then the Warrant exercise price will be decreased, effective immediately after the effective date of such event, by the amount of cash and/or the fair market value of any securities or other assets paid on each Ordinary Share in respect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will be decreased in proportion to such decrease in the outstanding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 additional Ordinary Shares or equity-linked securities for capital raising purposes in connection with the closing of our Business Combination at an issue price or effective issue price of less than $9.20 per Ordinary Share (with such issue price or effective issue price to be determined in good faith by our board of directors and, in the case of any such issuance to our Sponsor, initial stockholders or their affiliates, without taking into account any Founder Shares held by our Sponsor, initial stockholders or such affiliates, as applicable, prior to such issuance) (the “Newly Issued Price”), (y) the aggregate gross proceeds from such issuances represent more than 60% of the total equity proceeds, and interest thereon, available for the funding of our Business Combination on the date of the consummation of our Business Combination (net of redemptions), and (z) the volume weighted average trading price of our Ordinary Shares during the 20 trading day period starting on the trading day after the day on which we consummate our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below under “Redemption of Warrants” will be adjusted (to the nearest cent) to be equal to 118% of the higher of the Market Value and the Newly Issued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been issued in registered form under a warrant agreement between Continental Stock Transfer &amp; Trust Company, as warrant agent, and us. You should review a copy of the warrant agreement, which will be filed as an exhibit to the registration statement of which this Annual Report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Ordinary Shares. After the issuance of Ordinary Shares upon exercise of the Warrants, each holder will be entitled to one vote for each share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Warrants (including the Ordinary Shares issuable upon exercise of the Private Placement Warrants) are not transferable, assignable or salable until 30 days after the completion of our Business Combination. The Private Placement Warrants have terms and provisions that are identical to those of the Warrants being sold as part of the units in RFAC’s Initial Public Offering, including as to exercise price, exercisability and exercise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Warrants (and Private Placement-equivalent Warrants) elect to exercise them on a cashless basis, they would pay the exercise price by surrendering their Warrants for that number of Ordinary Shares equal to the quotient obtained by dividing (x) the product of the number of Ordinary Shares underlying the Warrants, multiplied by the excess of the “fair market value” (defined below) of the Ordinary Shares over the exercise price of the Warrants by (y) the fair market value. The “fair market value” shall mean the average reported last sale price of the Ordinary Shares for the five trading days ending on the third trading day prior to the date on which the notice of Warrant exercise is sent to the warrant agent.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Ordinary Shares issuable upon exercise of the Warrants freely in the open market, the insiders could be significantly restricted from doing so. As a result, we believe that allowing the holders to exercise such Warrants on a cashless basis is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finance transaction costs in connection with an intended Business Combination, our sponsor or an affiliate of our sponsor or certain of our officers and directors may, but are not obligated to, loan us funds as may be required. The terms of such working capital loans by our sponsor or its affiliates, or our officers and directors, if any, have not been determined and no written agreements exist with respect to such loans. In addition, holders of our Private Placement Warrants are entitled to certain 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 2025, we registered the Ordinary Shares issuable upon exercise of the these Warrants on a Registration Statement on Form F-1 (File No. 333-286361) which was declared effective by the SEC on April 7, 2025. On May 13, 2026, we filed a post-effective amendment to this registration statement which was declared effective on May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2026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Amendment, Waiver and Exchange Agreement (the “Exchange Agreement”) between the Company and ATW Partners (the “Holder”), dated April 28, 2026 (the “Exchange Date”), the Company issued to the Investor a warrant to purchase 1,125,000 ordinary shares at an initial exercise price of $8.00 per share (the “April 2026 Warrant”). The April 2026 Warrant has a three-year term and is exercisable, in whole or in part, at the option of the Holder. The exercise price of the April 2026 Warrant is subject to full-ratchet anti-dilution adjustments and other price protections. If the Company issues or sells or enters into any agreement to issue or sell, “Variable Price Securities” (defined in the April 2026 Warrant) after the Exchange Date that are issuable pursuant to such agreement or convertible into or exchangeable or exercisable for Ordinary Shares at a price which varies or may vary with the market price of the Ordinary Shares, the Holder shall have the right, but not the obligation, in its sole discretion to substitute the Variable Price for the Exercise Price upon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and from time to time on or after the Exchange Date there occurs any share split, share dividend, share combination recapitalization or other similar transaction involving the Ordinary Shares (each, a “Share Combination Event”, and such date thereof, the “Share Combination Event Date”) and the Event Market Price is less than the Exercise Price then in effect, then on the sixteenth (16th) Trading Day immediately following such Share Combination Event, the Exercise Price then in effect on such sixteenth (16th) Trading Day shall be reduced (but in no event increased) to the Event Market Price.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from time to time offer and resell any or all of the Resale Shares set forth below pursuant to this prospectus. Our registration of these Ordinary Shares does not necessarily mean that the Selling Shareholders will sell all or any of such shares. Except for the ownership of the Company’s ordinary shares, the Selling Shareholders have not had any material relationship with us within the past three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to our knowledge, certain information provided by or on behalf of the Selling Shareholders on or about September 2, 2026, concerning Resale Shares that may be offered from time to time by the Selling Shareholders with this prospectus. In the table below, the percentage of shares beneficially owned is calculated based on 128,007,703 Ordinary Shares outstanding as of September 2, 2026. Beneficial ownership is determined in accordance with applicable rules and regulations of the SEC.</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2"/>
        <w:gridCol w:w="60"/>
        <w:gridCol w:w="87"/>
        <w:gridCol w:w="1430"/>
        <w:gridCol w:w="87"/>
        <w:gridCol w:w="87"/>
        <w:gridCol w:w="138"/>
        <w:gridCol w:w="2252"/>
        <w:gridCol w:w="60"/>
        <w:gridCol w:w="60"/>
        <w:gridCol w:w="103"/>
        <w:gridCol w:w="1698"/>
        <w:gridCol w:w="103"/>
        <w:gridCol w:w="103"/>
        <w:gridCol w:w="158"/>
        <w:gridCol w:w="1122"/>
        <w:gridCol w:w="235"/>
      </w:tblGrid>
      <w:tr>
        <w:trPr/>
        <w:tc>
          <w:tcPr>
            <w:tcW w:w="24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08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 held before the 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2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 held after the Offering</w:t>
            </w:r>
          </w:p>
        </w:tc>
        <w:tc>
          <w:tcPr>
            <w:tcW w:w="235" w:type="dxa"/>
            <w:tcBorders/>
            <w:vAlign w:val="center"/>
          </w:tcPr>
          <w:p>
            <w:pPr>
              <w:pStyle w:val="TableContents"/>
              <w:bidi w:val="0"/>
              <w:spacing w:before="0" w:after="283"/>
              <w:jc w:val="center"/>
              <w:rPr/>
            </w:pPr>
            <w:r>
              <w:rPr/>
              <w:t> </w:t>
            </w:r>
          </w:p>
        </w:tc>
      </w:tr>
      <w:tr>
        <w:trPr/>
        <w:tc>
          <w:tcPr>
            <w:tcW w:w="2422" w:type="dxa"/>
            <w:tcBorders>
              <w:bottom w:val="single" w:sz="12" w:space="0" w:color="000000"/>
            </w:tcBorders>
            <w:tcMar>
              <w:bottom w:w="28" w:type="dxa"/>
            </w:tcMar>
            <w:vAlign w:val="center"/>
          </w:tcPr>
          <w:p>
            <w:pPr>
              <w:pStyle w:val="TableContents"/>
              <w:bidi w:val="0"/>
              <w:spacing w:before="0" w:after="283"/>
              <w:jc w:val="left"/>
              <w:rPr>
                <w:b/>
              </w:rPr>
            </w:pPr>
            <w:r>
              <w:rPr>
                <w:b/>
              </w:rPr>
              <w:t>Name of selling shareholders</w:t>
            </w:r>
          </w:p>
        </w:tc>
        <w:tc>
          <w:tcPr>
            <w:tcW w:w="60" w:type="dxa"/>
            <w:tcBorders/>
            <w:vAlign w:val="center"/>
          </w:tcPr>
          <w:p>
            <w:pPr>
              <w:pStyle w:val="TableContents"/>
              <w:bidi w:val="0"/>
              <w:spacing w:before="0" w:after="283"/>
              <w:jc w:val="center"/>
              <w:rPr/>
            </w:pPr>
            <w:r>
              <w:rPr/>
              <w:t> </w:t>
            </w:r>
          </w:p>
        </w:tc>
        <w:tc>
          <w:tcPr>
            <w:tcW w:w="15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87"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center"/>
              <w:rPr/>
            </w:pPr>
            <w:r>
              <w:rPr/>
              <w:t> </w:t>
            </w:r>
          </w:p>
        </w:tc>
        <w:tc>
          <w:tcPr>
            <w:tcW w:w="2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Ordinary Shares to be Sold</w:t>
              <w:br/>
              <w:t>Pursuant to this</w:t>
              <w:br/>
              <w:t>Prospectus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0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103" w:type="dxa"/>
            <w:tcBorders/>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center"/>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of Ordinary</w:t>
              <w:br/>
              <w:t xml:space="preserve">Shares </w:t>
            </w:r>
            <w:r>
              <w:rPr>
                <w:rFonts w:ascii="Times New Roman;Times;Serif" w:hAnsi="Times New Roman;Times;Serif"/>
                <w:b/>
                <w:position w:val="7"/>
                <w:sz w:val="16"/>
                <w:sz w:val="20"/>
              </w:rPr>
              <w:t>(1)</w:t>
            </w:r>
          </w:p>
        </w:tc>
        <w:tc>
          <w:tcPr>
            <w:tcW w:w="235" w:type="dxa"/>
            <w:tcBorders/>
            <w:vAlign w:val="center"/>
          </w:tcPr>
          <w:p>
            <w:pPr>
              <w:pStyle w:val="TableContents"/>
              <w:bidi w:val="0"/>
              <w:spacing w:before="0" w:after="283"/>
              <w:jc w:val="center"/>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Kouichi Ito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144,444</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111,111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MBK Co., Ltd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57,777</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13,333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44,444</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Naruhito Matsumuro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57,777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13,333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44,444</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Hanroku Capital Co Ltd </w:t>
            </w:r>
            <w:r>
              <w:rPr>
                <w:rFonts w:ascii="Times New Roman;Times;Serif" w:hAnsi="Times New Roman;Times;Serif"/>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86,667</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66,667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Japan Investment Inc. </w:t>
            </w: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577,779</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133,334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444,445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Satoshi Sakurai </w:t>
            </w:r>
            <w:r>
              <w:rPr>
                <w:rFonts w:ascii="Times New Roman;Times;Serif" w:hAnsi="Times New Roman;Times;Serif"/>
                <w:position w:val="7"/>
                <w:sz w:val="16"/>
                <w:sz w:val="20"/>
              </w:rPr>
              <w:t>(7)</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288,889</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66,667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222,222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Kunihiro Mita </w:t>
            </w:r>
            <w:r>
              <w:rPr>
                <w:rFonts w:ascii="Times New Roman;Times;Serif" w:hAnsi="Times New Roman;Times;Serif"/>
                <w:position w:val="7"/>
                <w:sz w:val="16"/>
                <w:sz w:val="20"/>
              </w:rPr>
              <w:t>(8)</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86,667</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66,667</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Mita Global Advisory Pte. Ltd. </w:t>
            </w:r>
            <w:r>
              <w:rPr>
                <w:rFonts w:ascii="Times New Roman;Times;Serif" w:hAnsi="Times New Roman;Times;Serif"/>
                <w:position w:val="7"/>
                <w:sz w:val="16"/>
                <w:sz w:val="20"/>
              </w:rPr>
              <w:t>(9)</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144,444</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33,333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111,111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Chen Junyao </w:t>
            </w:r>
            <w:r>
              <w:rPr>
                <w:rFonts w:ascii="Times New Roman;Times;Serif" w:hAnsi="Times New Roman;Times;Serif"/>
                <w:position w:val="7"/>
                <w:sz w:val="16"/>
                <w:sz w:val="20"/>
              </w:rPr>
              <w:t>(10)</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292,500</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67,500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225,000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Goh Choo Kian &amp; Teo Poh Choo </w:t>
            </w:r>
            <w:r>
              <w:rPr>
                <w:rFonts w:ascii="Times New Roman;Times;Serif" w:hAnsi="Times New Roman;Times;Serif"/>
                <w:position w:val="7"/>
                <w:sz w:val="16"/>
                <w:sz w:val="20"/>
              </w:rPr>
              <w:t>(11)</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866,666</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666,666</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Joshua Guok Chin Tien </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1,444,444</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1,111,111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Guok Foundation Ltd. </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1,444,444</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333,333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1,111,111</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Chin Kim Lung </w:t>
            </w:r>
            <w:r>
              <w:rPr>
                <w:rFonts w:ascii="Times New Roman;Times;Serif" w:hAnsi="Times New Roman;Times;Serif"/>
                <w:position w:val="7"/>
                <w:sz w:val="16"/>
                <w:sz w:val="20"/>
              </w:rPr>
              <w:t>(14)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292,500</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67,500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225,000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Lyndon Leow Zhan Wei </w:t>
            </w:r>
            <w:r>
              <w:rPr>
                <w:rFonts w:ascii="Times New Roman;Times;Serif" w:hAnsi="Times New Roman;Times;Serif"/>
                <w:position w:val="7"/>
                <w:sz w:val="16"/>
                <w:sz w:val="20"/>
              </w:rPr>
              <w:t>(15)</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2,888,888</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666,666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2,222,222</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235" w:type="dxa"/>
            <w:tcBorders/>
            <w:shd w:fill="FFFFFF" w:val="clear"/>
            <w:vAlign w:val="center"/>
          </w:tcPr>
          <w:p>
            <w:pPr>
              <w:pStyle w:val="TableContents"/>
              <w:bidi w:val="0"/>
              <w:spacing w:before="0" w:after="283"/>
              <w:jc w:val="left"/>
              <w:rPr/>
            </w:pPr>
            <w:r>
              <w:rPr/>
              <w:t>%</w:t>
            </w:r>
          </w:p>
        </w:tc>
      </w:tr>
      <w:tr>
        <w:trPr/>
        <w:tc>
          <w:tcPr>
            <w:tcW w:w="2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DH International Strategies Fund VCC </w:t>
            </w:r>
            <w:r>
              <w:rPr>
                <w:rFonts w:ascii="Times New Roman;Times;Serif" w:hAnsi="Times New Roman;Times;Serif"/>
                <w:position w:val="7"/>
                <w:sz w:val="16"/>
                <w:sz w:val="20"/>
              </w:rPr>
              <w:t>(16)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866,666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252"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jc w:val="right"/>
              <w:rPr/>
            </w:pPr>
            <w:r>
              <w:rPr/>
              <w:t>666,666</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2422" w:type="dxa"/>
            <w:tcBorders/>
            <w:shd w:fill="FFFFFF" w:val="clear"/>
            <w:vAlign w:val="center"/>
          </w:tcPr>
          <w:p>
            <w:pPr>
              <w:pStyle w:val="TableContents"/>
              <w:bidi w:val="0"/>
              <w:spacing w:before="0" w:after="283"/>
              <w:jc w:val="left"/>
              <w:rPr/>
            </w:pPr>
            <w:r>
              <w:rPr/>
              <w:t>Total shares held</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9,540,552</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252" w:type="dxa"/>
            <w:tcBorders/>
            <w:shd w:fill="FFFFFF" w:val="clear"/>
            <w:vAlign w:val="center"/>
          </w:tcPr>
          <w:p>
            <w:pPr>
              <w:pStyle w:val="TableContents"/>
              <w:bidi w:val="0"/>
              <w:spacing w:before="0" w:after="283"/>
              <w:jc w:val="right"/>
              <w:rPr/>
            </w:pPr>
            <w:r>
              <w:rPr/>
              <w:t>2,201,665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jc w:val="right"/>
              <w:rPr/>
            </w:pPr>
            <w:r>
              <w:rPr/>
              <w:t>7,338,887</w:t>
            </w:r>
          </w:p>
        </w:tc>
        <w:tc>
          <w:tcPr>
            <w:tcW w:w="103"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5.7</w:t>
            </w:r>
          </w:p>
        </w:tc>
        <w:tc>
          <w:tcPr>
            <w:tcW w:w="235" w:type="dxa"/>
            <w:tcBorders/>
            <w:shd w:fill="FFFF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8095" w:type="dxa"/>
        <w:jc w:val="left"/>
        <w:tblInd w:w="0" w:type="dxa"/>
        <w:tblLayout w:type="fixed"/>
        <w:tblCellMar>
          <w:top w:w="0" w:type="dxa"/>
          <w:left w:w="0" w:type="dxa"/>
          <w:bottom w:w="0" w:type="dxa"/>
          <w:right w:w="0" w:type="dxa"/>
        </w:tblCellMar>
      </w:tblPr>
      <w:tblGrid>
        <w:gridCol w:w="155"/>
        <w:gridCol w:w="7940"/>
      </w:tblGrid>
      <w:tr>
        <w:trPr/>
        <w:tc>
          <w:tcPr>
            <w:tcW w:w="155"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pPr>
            <w:r>
              <w:rPr/>
              <w:t>Represents beneficial ownership of less than 1% of our outstanding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of the Resale Shares offered by the selling shareholder pursuant to this prospectus.</w:t>
            </w:r>
          </w:p>
        </w:tc>
      </w:tr>
      <w:tr>
        <w:trPr/>
        <w:tc>
          <w:tcPr>
            <w:tcW w:w="259" w:type="dxa"/>
            <w:tcBorders/>
            <w:vAlign w:val="center"/>
          </w:tcPr>
          <w:p>
            <w:pPr>
              <w:pStyle w:val="TableContents"/>
              <w:bidi w:val="0"/>
              <w:spacing w:before="0" w:after="283"/>
              <w:jc w:val="both"/>
              <w:rPr/>
            </w:pPr>
            <w:r>
              <w:rPr/>
              <w:t> </w:t>
            </w:r>
          </w:p>
        </w:tc>
        <w:tc>
          <w:tcPr>
            <w:tcW w:w="9946" w:type="dxa"/>
            <w:tcBorders/>
            <w:vAlign w:val="center"/>
          </w:tcPr>
          <w:p>
            <w:pPr>
              <w:pStyle w:val="TableContents"/>
              <w:bidi w:val="0"/>
              <w:spacing w:before="0" w:after="283"/>
              <w:jc w:val="both"/>
              <w:rPr/>
            </w:pPr>
            <w:r>
              <w:rPr/>
              <w:t> </w:t>
            </w:r>
          </w:p>
        </w:tc>
      </w:tr>
      <w:tr>
        <w:trPr/>
        <w:tc>
          <w:tcPr>
            <w:tcW w:w="25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Kouichi Ito is c/o Mita Securities Company Limited, 3-11, Kabutocho, Nihonbashi Chuo-ku, Tokyo, Japan.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MBK Co., Ltd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Naruhito Matsumuro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Hanroku Capital Co Ltd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Japan Investment Inc.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Satoshi Sakurai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Kunihiro Mita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Mita Global Advisory Pte. Ltd. Is c/o Mita Securities Company Limited, 3-11, Kabutocho, Nihonbashi Chuo-ku, Tokyo, Japan.</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Mr. Junyao Chen is 8 Suffolk Walk Viva Condominium #19-09 Singapore 307465.</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(11)</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Go Choo Kian and Teo Pho Choo is 2a Bukit Sedap Road, Singapore, 279930.</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Mr. Joshua Guok Chin Tien is 4 Jalan Tenang, Singapore 277938.</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Guok Foundation Ltd is a limited liability corporation incorporated under law of Singapore and wholly owned by Mr. Joshua Guok. Mr. Joshua Guok has sole voting and dispositive power over the ordinary shares described herein. The address of Guok Foundation Ltd. Guok Foundation Ltd is 8 Burn Road #04-04, Trivex, Singapore 369977.</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(14)</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Lyndon Leow Zhan Wei is 5 Toh Crescent, Singapore 507918.</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Mr. Chin Kim Lung is 79 Cardiff Grove S558945.</w:t>
            </w:r>
          </w:p>
        </w:tc>
      </w:tr>
      <w:tr>
        <w:trPr/>
        <w:tc>
          <w:tcPr>
            <w:tcW w:w="324" w:type="dxa"/>
            <w:tcBorders/>
            <w:vAlign w:val="center"/>
          </w:tcPr>
          <w:p>
            <w:pPr>
              <w:pStyle w:val="TableContents"/>
              <w:bidi w:val="0"/>
              <w:spacing w:before="0" w:after="283"/>
              <w:jc w:val="both"/>
              <w:rPr/>
            </w:pPr>
            <w:r>
              <w:rPr/>
              <w:t> </w:t>
            </w:r>
          </w:p>
        </w:tc>
        <w:tc>
          <w:tcPr>
            <w:tcW w:w="9881" w:type="dxa"/>
            <w:tcBorders/>
            <w:vAlign w:val="center"/>
          </w:tcPr>
          <w:p>
            <w:pPr>
              <w:pStyle w:val="TableContents"/>
              <w:bidi w:val="0"/>
              <w:spacing w:before="0" w:after="283"/>
              <w:jc w:val="both"/>
              <w:rPr/>
            </w:pPr>
            <w:r>
              <w:rPr/>
              <w:t> </w:t>
            </w:r>
          </w:p>
        </w:tc>
      </w:tr>
      <w:tr>
        <w:trPr/>
        <w:tc>
          <w:tcPr>
            <w:tcW w:w="3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(16)</w:t>
            </w:r>
          </w:p>
        </w:tc>
        <w:tc>
          <w:tcPr>
            <w:tcW w:w="98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DH International Strategies Fund VCC is a corporation incorporated under law of Singapore and wholly owned by Mr. Hao Bo. Mr. Hao Bo has sole voting and dispositive power over the ordinary shares described herein. The address of DH International Strategies Fund VCC is 2 Shenton Way #17-02 SGX Centre 1, Singapore, 068804.</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held by the Selling Shareholders to permit the resale of these Ordinary Shares by the Selling Shareholders from time to time after the date of this prospectus. We will not receive any of the proceeds from the sale by the Selling Shareholders of the Ordinary Shares. We will bear all fees and expenses incident to our obligation to register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Ordinary Shares held by them and offered hereby from time to time directly or through one or more underwriters, broker-dealers or agents. If the Ordinary Shares are sold through underwriters or broker-dealers, the Selling Shareholders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any national securities exchange or quotation service on which the securities may be listed or quoted at the time of sale;</w:t>
            </w:r>
          </w:p>
        </w:tc>
      </w:tr>
    </w:tbl>
    <w:p>
      <w:pPr>
        <w:pStyle w:val="TextBody"/>
        <w:bidi w:val="0"/>
        <w:spacing w:before="0" w:after="0"/>
        <w:ind w:left="1080" w:right="0" w:hanging="36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bl>
    <w:p>
      <w:pPr>
        <w:pStyle w:val="TextBody"/>
        <w:bidi w:val="0"/>
        <w:spacing w:before="0" w:after="0"/>
        <w:ind w:left="1080" w:right="0" w:hanging="36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otherwise than on these exchanges or systems or in the over-the-counter market;</w:t>
            </w:r>
          </w:p>
        </w:tc>
      </w:tr>
    </w:tbl>
    <w:p>
      <w:pPr>
        <w:pStyle w:val="TextBody"/>
        <w:bidi w:val="0"/>
        <w:spacing w:before="0" w:after="0"/>
        <w:ind w:left="1080" w:right="0" w:hanging="360"/>
        <w:jc w:val="both"/>
        <w:rPr>
          <w:caps w:val="false"/>
          <w:smallCaps w:val="false"/>
        </w:rPr>
      </w:pPr>
      <w:r>
        <w:rPr>
          <w:caps w:val="false"/>
          <w:smallCaps w:val="false"/>
        </w:rPr>
        <w:t> </w:t>
      </w:r>
    </w:p>
    <w:tbl>
      <w:tblPr>
        <w:tblW w:w="9610" w:type="dxa"/>
        <w:jc w:val="left"/>
        <w:tblInd w:w="0" w:type="dxa"/>
        <w:tblLayout w:type="fixed"/>
        <w:tblCellMar>
          <w:top w:w="0" w:type="dxa"/>
          <w:left w:w="0" w:type="dxa"/>
          <w:bottom w:w="0" w:type="dxa"/>
          <w:right w:w="0" w:type="dxa"/>
        </w:tblCellMar>
      </w:tblPr>
      <w:tblGrid>
        <w:gridCol w:w="105"/>
        <w:gridCol w:w="200"/>
        <w:gridCol w:w="930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whether such options are listed on an options exchange or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105"/>
        <w:gridCol w:w="200"/>
        <w:gridCol w:w="77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1080" w:right="0" w:hanging="36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105"/>
        <w:gridCol w:w="200"/>
        <w:gridCol w:w="719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bl>
    <w:p>
      <w:pPr>
        <w:pStyle w:val="TextBody"/>
        <w:bidi w:val="0"/>
        <w:spacing w:before="0" w:after="0"/>
        <w:ind w:left="1080" w:right="0" w:hanging="36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05"/>
        <w:gridCol w:w="200"/>
        <w:gridCol w:w="67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bl>
    <w:p>
      <w:pPr>
        <w:pStyle w:val="TextBody"/>
        <w:bidi w:val="0"/>
        <w:spacing w:before="0" w:after="0"/>
        <w:ind w:left="1080" w:right="0" w:hanging="36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05"/>
        <w:gridCol w:w="200"/>
        <w:gridCol w:w="2825"/>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2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105"/>
        <w:gridCol w:w="200"/>
        <w:gridCol w:w="74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 sales made after the date the Registration Statement is declared effective by the SEC;</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broker-dealers may agree with a selling security holder to sell a specified number of such shares at a stipulated price per share;</w:t>
            </w:r>
          </w:p>
        </w:tc>
      </w:tr>
    </w:tbl>
    <w:p>
      <w:pPr>
        <w:pStyle w:val="TextBody"/>
        <w:bidi w:val="0"/>
        <w:spacing w:before="0" w:after="0"/>
        <w:ind w:left="1080" w:right="0" w:hanging="36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05"/>
        <w:gridCol w:w="200"/>
        <w:gridCol w:w="39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and</w:t>
            </w:r>
          </w:p>
        </w:tc>
      </w:tr>
    </w:tbl>
    <w:p>
      <w:pPr>
        <w:pStyle w:val="TextBody"/>
        <w:bidi w:val="0"/>
        <w:spacing w:before="0" w:after="0"/>
        <w:ind w:left="1080" w:right="0" w:hanging="36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05"/>
        <w:gridCol w:w="200"/>
        <w:gridCol w:w="458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both"/>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ordinary shares under Rule 144 promulgated under the Securities Act of 1933, as amended, if available, rather than under this prospectus. In addition, the Selling Shareholders may transfer the Ordinary Shares by other means not described in this prospectus. If the Selling Shareholders effect such transactions by selling ordinary shares to or through underwriters, broker-dealers or agents, such underwriters, broker-dealers or agents may receive commissions in the form of discounts, concessions or commissions from the Selling Shareholders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Shareholders may enter into hedging transactions with broker-dealers, which may in turn engage in short sales of the Ordinary Shares in the course of hedging in positions they assume. The Selling Shareholders may also sell Ordinary Shares short and deliver Ordinary Shares covered by this prospectus to close out short positions and to return borrowed shares in connection with such short sales. The Selling Shareholders may also loan or pledge Ordinary Shares to broker-dealers that in turn may sell such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or grant a security interest in some or all of the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Ordinary Shares in other circumstances in which case the transferees, donees, pledgees or other successors in interest will be the selling beneficial owners for purposes of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Shareholders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Shareholders will sell any or all of the Ordinary Shares registered pursuant to the registration statement, of which this prospectus forms a part.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Shareholders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ordinary shares, including, without limitation, Securities and Exchange Commission filing fees and expenses of compliance with state securities or “blue sky” laws; provided, however, a Selling Shareholders will pay all underwriting discounts and selling commissions, if any. We may be indemnified by the Selling Shareholders against civil liabilities, including liabilities under the Securities Act that may arise from any written information furnished to us by the Selling Shareholders specifically for use in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Ordinary Shares will be freely tradable in the hands of persons other than our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EXPENSES RELATING TO THIS OFFERING</w:t>
      </w:r>
    </w:p>
    <w:p>
      <w:pPr>
        <w:pStyle w:val="TextBody"/>
        <w:bidi w:val="0"/>
        <w:spacing w:before="0" w:after="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following expenses in connection with the offer and resale of the Ordinary Shares by the Selling Shareholder. With the exception of the SEC registration fee, all amounts are estimates.</w:t>
      </w:r>
    </w:p>
    <w:p>
      <w:pPr>
        <w:pStyle w:val="TextBody"/>
        <w:bidi w:val="0"/>
        <w:spacing w:before="0" w:after="0"/>
        <w:ind w:left="0" w:right="0" w:firstLine="720"/>
        <w:jc w:val="both"/>
        <w:rPr>
          <w:caps w:val="false"/>
          <w:smallCaps w:val="false"/>
        </w:rPr>
      </w:pPr>
      <w:r>
        <w:rPr>
          <w:caps w:val="false"/>
          <w:smallCaps w:val="false"/>
        </w:rPr>
        <w:t> </w:t>
      </w:r>
    </w:p>
    <w:tbl>
      <w:tblPr>
        <w:tblW w:w="5005" w:type="dxa"/>
        <w:jc w:val="left"/>
        <w:tblInd w:w="0" w:type="dxa"/>
        <w:tblLayout w:type="fixed"/>
        <w:tblCellMar>
          <w:top w:w="0" w:type="dxa"/>
          <w:left w:w="0" w:type="dxa"/>
          <w:bottom w:w="28" w:type="dxa"/>
          <w:right w:w="0" w:type="dxa"/>
        </w:tblCellMar>
      </w:tblPr>
      <w:tblGrid>
        <w:gridCol w:w="4010"/>
        <w:gridCol w:w="60"/>
        <w:gridCol w:w="146"/>
        <w:gridCol w:w="714"/>
        <w:gridCol w:w="75"/>
      </w:tblGrid>
      <w:tr>
        <w:trPr/>
        <w:tc>
          <w:tcPr>
            <w:tcW w:w="4010" w:type="dxa"/>
            <w:tcBorders>
              <w:bottom w:val="single" w:sz="12" w:space="0" w:color="000000"/>
            </w:tcBorders>
            <w:vAlign w:val="center"/>
          </w:tcPr>
          <w:p>
            <w:pPr>
              <w:pStyle w:val="TableContents"/>
              <w:bidi w:val="0"/>
              <w:spacing w:before="0" w:after="283"/>
              <w:jc w:val="left"/>
              <w:rPr>
                <w:b/>
              </w:rPr>
            </w:pPr>
            <w:r>
              <w:rPr>
                <w:b/>
              </w:rPr>
              <w:t>Expenses</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75" w:type="dxa"/>
            <w:tcBorders/>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283"/>
              <w:jc w:val="left"/>
              <w:rPr/>
            </w:pPr>
            <w:r>
              <w:rPr/>
              <w:t>SEC registration fee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w:t>
            </w:r>
          </w:p>
        </w:tc>
        <w:tc>
          <w:tcPr>
            <w:tcW w:w="714" w:type="dxa"/>
            <w:tcBorders/>
            <w:shd w:fill="CCEEFF" w:val="clear"/>
            <w:tcMar>
              <w:bottom w:w="0" w:type="dxa"/>
            </w:tcMar>
            <w:vAlign w:val="center"/>
          </w:tcPr>
          <w:p>
            <w:pPr>
              <w:pStyle w:val="TableContents"/>
              <w:bidi w:val="0"/>
              <w:spacing w:before="0" w:after="283"/>
              <w:jc w:val="right"/>
              <w:rPr/>
            </w:pPr>
            <w:r>
              <w:rPr/>
              <w:t>180.97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283"/>
              <w:jc w:val="left"/>
              <w:rPr/>
            </w:pPr>
            <w:r>
              <w:rPr/>
              <w:t>Legal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283"/>
              <w:jc w:val="left"/>
              <w:rPr/>
            </w:pPr>
            <w:r>
              <w:rPr/>
              <w:t>Accountants’ fees and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714"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283"/>
              <w:jc w:val="left"/>
              <w:rPr/>
            </w:pPr>
            <w:r>
              <w:rPr/>
              <w:t>Transfer agent fees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714"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10" w:type="dxa"/>
            <w:tcBorders/>
            <w:shd w:fill="CCEEFF" w:val="clear"/>
            <w:tcMar>
              <w:bottom w:w="0" w:type="dxa"/>
            </w:tcMar>
            <w:vAlign w:val="center"/>
          </w:tcPr>
          <w:p>
            <w:pPr>
              <w:pStyle w:val="TableContents"/>
              <w:bidi w:val="0"/>
              <w:spacing w:before="0" w:after="283"/>
              <w:jc w:val="left"/>
              <w:rPr/>
            </w:pPr>
            <w:r>
              <w:rPr/>
              <w:t>Printing expenses and miscellaneous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12" w:space="0" w:color="000000"/>
            </w:tcBorders>
            <w:shd w:fill="CCEEFF" w:val="clear"/>
            <w:vAlign w:val="center"/>
          </w:tcPr>
          <w:p>
            <w:pPr>
              <w:pStyle w:val="TableContents"/>
              <w:bidi w:val="0"/>
              <w:spacing w:before="0" w:after="283"/>
              <w:jc w:val="left"/>
              <w:rPr/>
            </w:pPr>
            <w:r>
              <w:rPr/>
              <w:t> </w:t>
            </w:r>
          </w:p>
        </w:tc>
        <w:tc>
          <w:tcPr>
            <w:tcW w:w="714" w:type="dxa"/>
            <w:tcBorders>
              <w:bottom w:val="single" w:sz="12" w:space="0" w:color="000000"/>
            </w:tcBorders>
            <w:shd w:fill="CCEEFF" w:val="cle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1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10" w:space="0" w:color="000000"/>
            </w:tcBorders>
            <w:shd w:fill="FFFFFF" w:val="clear"/>
            <w:vAlign w:val="center"/>
          </w:tcPr>
          <w:p>
            <w:pPr>
              <w:pStyle w:val="TableContents"/>
              <w:bidi w:val="0"/>
              <w:spacing w:before="0" w:after="283"/>
              <w:jc w:val="left"/>
              <w:rPr/>
            </w:pPr>
            <w:r>
              <w:rPr/>
              <w:t>$</w:t>
            </w:r>
          </w:p>
        </w:tc>
        <w:tc>
          <w:tcPr>
            <w:tcW w:w="714" w:type="dxa"/>
            <w:tcBorders>
              <w:bottom w:val="double" w:sz="10" w:space="0" w:color="000000"/>
            </w:tcBorders>
            <w:shd w:fill="FFFFFF" w:val="clear"/>
            <w:vAlign w:val="center"/>
          </w:tcPr>
          <w:p>
            <w:pPr>
              <w:pStyle w:val="TableContents"/>
              <w:bidi w:val="0"/>
              <w:spacing w:before="0" w:after="283"/>
              <w:jc w:val="right"/>
              <w:rPr/>
            </w:pPr>
            <w:r>
              <w:rPr/>
              <w:t>180.97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w:t>
      </w:r>
    </w:p>
    <w:p>
      <w:pPr>
        <w:pStyle w:val="TextBody"/>
        <w:bidi w:val="0"/>
        <w:spacing w:before="0" w:after="0"/>
        <w:ind w:left="720" w:right="0" w:hanging="720"/>
        <w:jc w:val="both"/>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25"/>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These fees cannot be defined at this time.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all expenses of registration incurred in connection with the resale of Ordinary Shares under this prospectus, except for any underwriting discounts, if any, selling commissions and stock transfer taxes applicable to the sale of Ordinary Shares by the Selling Shareholder, all of which are to be paid by the Selling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relating to U.S. law will be passed upon for the Company by Loeb &amp; Loeb LLP. Certain Cayman Islands legal matters will be passed upon for the Company by Carey Olsen Singapore LLP.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independent registered public accounting firm, has audited our consolidated financial statements included in our Annual Report on Form 20-F for the year ended March 31, 2026,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GCL Global Holdings Ltd as of March 31, 2025 and 2024, as incorporated by reference in this prospectus and elsewhere in the registration statement, have been so incorporated by reference in reliance on the report of Marcum Asia CPAs LLP, an independent registered public accounting firm, given 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periodic reporting and other information requirements of the Exchange Act as applicable to a “foreign private issuer,” and we will file annual reports and other information from time to time with the SEC in accordance with such requirements. Our SEC filings will be available to the public on the internet at a website maintained by the SEC located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maintain an Internet website at </w:t>
      </w:r>
      <w:r>
        <w:rPr>
          <w:rFonts w:ascii="Times New Roman;Times;Serif" w:hAnsi="Times New Roman;Times;Serif"/>
          <w:b w:val="false"/>
          <w:i/>
          <w:caps w:val="false"/>
          <w:smallCaps w:val="false"/>
          <w:sz w:val="20"/>
        </w:rPr>
        <w:t>https://www.gclglobalholdings.com</w:t>
      </w:r>
      <w:r>
        <w:rPr>
          <w:rFonts w:ascii="Times New Roman;Times;Serif" w:hAnsi="Times New Roman;Times;Serif"/>
          <w:b w:val="false"/>
          <w:i w:val="false"/>
          <w:caps w:val="false"/>
          <w:smallCaps w:val="false"/>
          <w:sz w:val="20"/>
        </w:rPr>
        <w:t>. Through our website, we make available, free of charge, the following documents as soon as reasonably practicable after they are electronically filed with, or furnished to, the SEC: our Annual Reports on Form 20-F; our reports on Form 6-K; amendments to these documents; and other information as may be required by the SEC. The information contained on, or that may be accessed through, our website is not part of, and is not incorporated into, this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officers, directors and principal shareholders are exempt from the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r>
        <w:rPr>
          <w:rFonts w:ascii="Times New Roman;Times;Serif" w:hAnsi="Times New Roman;Times;Serif"/>
          <w:b w:val="false"/>
          <w:i/>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ENFORCEABILITY OF CIVIL LIABILITIES UNDER U.S.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Cayman Islands in order to enjoy the following benefits:</w:t>
      </w:r>
    </w:p>
    <w:p>
      <w:pPr>
        <w:pStyle w:val="TextBody"/>
        <w:bidi w:val="0"/>
        <w:spacing w:before="0" w:after="0"/>
        <w:ind w:left="0" w:right="0" w:hanging="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05"/>
        <w:gridCol w:w="200"/>
        <w:gridCol w:w="275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bl>
    <w:p>
      <w:pPr>
        <w:pStyle w:val="TextBody"/>
        <w:bidi w:val="0"/>
        <w:spacing w:before="0" w:after="0"/>
        <w:ind w:left="0" w:right="0" w:hanging="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105"/>
        <w:gridCol w:w="200"/>
        <w:gridCol w:w="237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2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bl>
    <w:p>
      <w:pPr>
        <w:pStyle w:val="TextBody"/>
        <w:bidi w:val="0"/>
        <w:spacing w:before="0" w:after="0"/>
        <w:ind w:left="0" w:right="0" w:hanging="0"/>
        <w:jc w:val="both"/>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05"/>
        <w:gridCol w:w="200"/>
        <w:gridCol w:w="195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1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bl>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105"/>
        <w:gridCol w:w="200"/>
        <w:gridCol w:w="501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5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bl>
    <w:p>
      <w:pPr>
        <w:pStyle w:val="TextBody"/>
        <w:bidi w:val="0"/>
        <w:spacing w:before="0" w:after="0"/>
        <w:ind w:left="0" w:right="0" w:hanging="0"/>
        <w:jc w:val="both"/>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105"/>
        <w:gridCol w:w="200"/>
        <w:gridCol w:w="4325"/>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 the following: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and</w:t>
            </w:r>
          </w:p>
        </w:tc>
      </w:tr>
    </w:tbl>
    <w:p>
      <w:pPr>
        <w:pStyle w:val="TextBody"/>
        <w:bidi w:val="0"/>
        <w:spacing w:before="0" w:after="0"/>
        <w:ind w:left="960" w:right="0" w:hanging="36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105"/>
        <w:gridCol w:w="200"/>
        <w:gridCol w:w="8390"/>
      </w:tblGrid>
      <w:tr>
        <w:trPr/>
        <w:tc>
          <w:tcPr>
            <w:tcW w:w="105"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283"/>
              <w:jc w:val="both"/>
              <w:rPr/>
            </w:pPr>
            <w:r>
              <w:rPr/>
              <w:t>●</w:t>
            </w:r>
          </w:p>
        </w:tc>
        <w:tc>
          <w:tcPr>
            <w:tcW w:w="8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our Company’s operations are conducted outside the United States, and a majority of our Company’s assets are located outside the United States. A majority of our Company’s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our Company or them judgments obtained in United States courts, including judgments predicated upon the civil liability provisions of the securities laws of the United States or any state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has appointed Cogency Global Inc. as its agent upon whom process may be served in any action brought against it under the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Carey Olsen Singapore LLP, our Company’s counsel as to Cayman Islands law, have advised our Company that although there is no statutory enforcement in the Cayman Islands of judgments obtained in the federal or state courts of the United States (and the Cayman Islands are not a party to any treaties for the reciprocal enforcement or recognition of such judgments), the Grand Court of the Cayman Islands will at common law enforce final and conclusive in personam judgments of state and/or federal courts of the United States of America (the “Foreign Court”) of a debt or definite sum of money against the Company (other than a sum of money payable in respect of taxes or other charges of a like nature, a fine or other penalty (which may include a multiple damages judgment in an anti-trust action) or where enforcement would be contrary to public policy). The Grand Court of the Cayman Islands will also at common law enforce final and conclusive in personam judgments of the Foreign Court that are non-monetary against the Company, for example, declaratory judgments ruling upon the true legal owner of shares in a Cayman Islands company. The Grand Court of the Cayman Islands will exercise its discretion in the enforcement of non-money judgments by having regard to the circumstances, such as considering whether the principles of comity apply. To be treated as final and conclusive, any relevant judgment must be regarded as </w:t>
      </w:r>
      <w:r>
        <w:rPr>
          <w:rFonts w:ascii="Times New Roman;Times;Serif" w:hAnsi="Times New Roman;Times;Serif"/>
          <w:b w:val="false"/>
          <w:i/>
          <w:caps w:val="false"/>
          <w:smallCaps w:val="false"/>
          <w:sz w:val="20"/>
        </w:rPr>
        <w:t>res judicata</w:t>
      </w:r>
      <w:r>
        <w:rPr>
          <w:rFonts w:ascii="Times New Roman;Times;Serif" w:hAnsi="Times New Roman;Times;Serif"/>
          <w:b w:val="false"/>
          <w:i w:val="false"/>
          <w:caps w:val="false"/>
          <w:smallCaps w:val="false"/>
          <w:sz w:val="20"/>
        </w:rPr>
        <w:t xml:space="preserve"> by the Foreign Court. A debt claim on a foreign judgment must be brought within six years of the date of the judgment, and arrears of interest on a judgment debt cannot be recovered after six years from the date on which the interest was due. The Cayman Islands courts are unlikely to enforce a judgment obtained from the Foreign Court under civil liability provisions of U.S. federal securities law if such a judgment is found by the courts of the Cayman Islands to give rise to obligations to make payments that are penal or punitive in nature. Such a determination has not yet been made by the Grand Court of the Cayman Islands. A Cayman Islands court may stay enforcement proceedings if concurrent proceedings are being brought elsewhere. A judgment entered in default of appearance by a defendant who has had notice of the Foreign Court’s intention to proceed may be final and conclusive notwithstanding that the Foreign Court has power to set aside its own judgment and despite the fact that it may be subject to an appeal the time-limit for which has not yet expired. The Grand Court of the Cayman Islands may safeguard the defendant’s rights by granting a stay of execution pending any such appeal and may also grant interim injunctive relief as appropriate for the purpose of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the judgment creditor is responsible for enforcing the order or judgment in all civil claims under Singapore law, and the Singapore Courts will not be responsible for the commencement of enforcement proceedings. A judgment creditor may enforce an order or judgment through writ of possession, writ of seizure and sale, writ of delivery and garnishee proceedings. If a party subject to a judgment does not comply with a court order, the Singapore court may commence committal proceedings, through which the court can determine penalties against such party. Where a foreign judgment is obtained in a court of law outside of Singapore, the party seeking enforcement may have to register the foreign judgment with the High Court of Singapore before it can be enforced in Singapore.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registration of a foreign judgment, it is noted that Singapore does not have treaties providing for the reciprocal recognition and enforcement of judgments of courts with United States. Further, it is unclear if extradition treaties currently in effect between the United States and Singapore would permit enforcement of criminal penalties of U.S. federal securities laws. In this case, the judgment creditor may be required to commence an action for the recovery of judgment debt in the Singapore courts under common laws to recognize and enforce the judgment.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matter, the interpretation and enforcement of laws and regulations in Singapore involve a certain degree of uncertainty. As local administrative and court authorities and in certain cases, independent organizations, have significant discretion in interpreting and implementing statutory provisions and contractual terms, it may be difficult to evaluate the outcome of administrative and court proceedings and the level of legal protection that our Company and its subsidiaries may enjoy in the locations that they operate in. Moreover, the local courts may have broad discretion to reject enforcement of foreign awards. These uncertainties may affect our Company and its subsidiaries’ judgment on the relevance of legal requirements and their ability to enforce contractual rights or tort claims. In addition, the regulatory uncertainties may be exploited through unmerited or frivolous legal actions or threats in attempts to exact payments or benefits from our Company and its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This registration statement incorporates by reference important information about the Company that is not included in or delivered with this document. 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into this prospectus the following documents:</w:t>
      </w:r>
    </w:p>
    <w:p>
      <w:pPr>
        <w:pStyle w:val="TextBody"/>
        <w:bidi w:val="0"/>
        <w:spacing w:before="0" w:after="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 xml:space="preserve">Annual Report on </w:t>
            </w:r>
            <w:hyperlink r:id="rId3">
              <w:r>
                <w:rPr>
                  <w:rStyle w:val="InternetLink"/>
                </w:rPr>
                <w:t>Form 20-F</w:t>
              </w:r>
            </w:hyperlink>
            <w:r>
              <w:rPr/>
              <w:t xml:space="preserve"> for the fiscal year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Ordinary Shares contained in our Registration Statement on </w:t>
            </w:r>
            <w:hyperlink r:id="rId4">
              <w:r>
                <w:rPr>
                  <w:rStyle w:val="InternetLink"/>
                </w:rPr>
                <w:t>Form 8-A</w:t>
              </w:r>
            </w:hyperlink>
            <w:r>
              <w:rPr/>
              <w:t xml:space="preserve"> filed on February 13, 2025, including any amendments or reports filed for the purpose of updating the description;</w:t>
            </w:r>
          </w:p>
        </w:tc>
      </w:tr>
    </w:tbl>
    <w:p>
      <w:pPr>
        <w:pStyle w:val="TextBody"/>
        <w:bidi w:val="0"/>
        <w:spacing w:before="0" w:after="0"/>
        <w:ind w:left="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 xml:space="preserve">The </w:t>
            </w:r>
            <w:hyperlink r:id="rId5">
              <w:r>
                <w:rPr>
                  <w:rStyle w:val="InternetLink"/>
                </w:rPr>
                <w:t>Form 6-K</w:t>
              </w:r>
            </w:hyperlink>
            <w:r>
              <w:rPr/>
              <w:t xml:space="preserve"> furnished to the SEC on August 28,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future annual reports on Form 20-F filed with the SEC after the date of this prospectus and prior to the termination of the offering of the securities offered by this prospectus;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Any future reports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filings with the SEC, including annual reports on Form 20-F and current reports on Form 6-K and amendments to those reports, are available electronically on the SEC’s website at www.sec.gov.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Group Chief Financial Officer</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GCL Global Holdings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Tai Seng Avenue #02-01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Cool Lifestyle Hub</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534119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+65 80427330</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or any supplement or amendment hereto. We have not authorized anyone to provide you with different information. We are not making any offer to sell these securities in any jurisdiction where the offer or sale is not permitted. You should not assume that the information contained or incorporated by reference in this prospectus or any supplement or amendment hereto is accurate as of any date other than the date of the document containing the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9"/>
      <w:bookmarkEnd w:id="20"/>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960" w:right="0" w:hanging="9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the Cayman Islands do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fraud or the consequences of committing a crime.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Memorandum and Articles of Association provide for indemnification and advancement of expenses for its current and former directors and officers to the fullest extent permitted under the laws of the Cayman Islands, in the absence of actual fraud or willful default. The Company has entered into indemnification agreements with each director and officers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960" w:right="0" w:hanging="9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beginning on page II-3 of this registration statement.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960" w:right="0" w:hanging="9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 Undertakings</w:t>
      </w:r>
    </w:p>
    <w:p>
      <w:pPr>
        <w:pStyle w:val="TextBody"/>
        <w:bidi w:val="0"/>
        <w:spacing w:before="0" w:after="0"/>
        <w:ind w:left="0" w:right="0" w:firstLine="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84"/>
        <w:gridCol w:w="9541"/>
      </w:tblGrid>
      <w:tr>
        <w:trPr/>
        <w:tc>
          <w:tcPr>
            <w:tcW w:w="8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pPr>
            <w:r>
              <w:rPr/>
              <w:t>(a)</w:t>
            </w:r>
          </w:p>
        </w:tc>
        <w:tc>
          <w:tcPr>
            <w:tcW w:w="9541" w:type="dxa"/>
            <w:tcBorders/>
            <w:vAlign w:val="center"/>
          </w:tcPr>
          <w:p>
            <w:pPr>
              <w:pStyle w:val="TableContents"/>
              <w:bidi w:val="0"/>
              <w:spacing w:before="0" w:after="283"/>
              <w:jc w:val="both"/>
              <w:rPr/>
            </w:pPr>
            <w:r>
              <w:rPr/>
              <w:t>The undersigned Registrant hereby undertakes: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1440" w:right="0" w:hanging="36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105"/>
        <w:gridCol w:w="230"/>
        <w:gridCol w:w="698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37"/>
        <w:gridCol w:w="9863"/>
      </w:tblGrid>
      <w:tr>
        <w:trPr/>
        <w:tc>
          <w:tcPr>
            <w:tcW w:w="10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324"/>
        <w:gridCol w:w="9776"/>
      </w:tblGrid>
      <w:tr>
        <w:trPr/>
        <w:tc>
          <w:tcPr>
            <w:tcW w:w="10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96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do not apply if the registration statement is on Form S-3 or From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need not be furnished, provided, that the Registrant includes in the prospectus, by means of a post-effective amendment, financial statements required pursuant to Section 10(a)(4) of the Securities Act of 1933 and other information necessary to ensure that all other information in the prospectus is at least as current as the date of those financial statements. Notwithstanding the foregoing, a post-effective amendment needs not be filed to include financial statements and information required by Section 10(a)(3) of the Securities Act or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tc>
      </w:tr>
    </w:tbl>
    <w:p>
      <w:pPr>
        <w:pStyle w:val="TextBody"/>
        <w:bidi w:val="0"/>
        <w:spacing w:before="0" w:after="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(5)</w:t>
            </w:r>
          </w:p>
        </w:tc>
        <w:tc>
          <w:tcPr>
            <w:tcW w:w="8225"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(ii)</w:t>
            </w:r>
          </w:p>
        </w:tc>
        <w:tc>
          <w:tcPr>
            <w:tcW w:w="9948"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1440" w:right="0" w:hanging="360"/>
        <w:jc w:val="both"/>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75"/>
        <w:gridCol w:w="305"/>
        <w:gridCol w:w="884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(c)</w:t>
            </w:r>
          </w:p>
        </w:tc>
        <w:tc>
          <w:tcPr>
            <w:tcW w:w="9961"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60"/>
        <w:gridCol w:w="9510"/>
      </w:tblGrid>
      <w:tr>
        <w:trPr/>
        <w:tc>
          <w:tcPr>
            <w:tcW w:w="635" w:type="dxa"/>
            <w:tcBorders/>
            <w:shd w:fill="CCEEFF" w:val="clear"/>
            <w:vAlign w:val="center"/>
          </w:tcPr>
          <w:p>
            <w:pPr>
              <w:pStyle w:val="TableContents"/>
              <w:bidi w:val="0"/>
              <w:spacing w:before="0" w:after="283"/>
              <w:jc w:val="both"/>
              <w:rPr/>
            </w:pPr>
            <w:r>
              <w:rPr/>
              <w:t>3.1</w:t>
            </w:r>
          </w:p>
        </w:tc>
        <w:tc>
          <w:tcPr>
            <w:tcW w:w="60" w:type="dxa"/>
            <w:tcBorders/>
            <w:shd w:fill="CCEEFF" w:val="clear"/>
            <w:vAlign w:val="center"/>
          </w:tcPr>
          <w:p>
            <w:pPr>
              <w:pStyle w:val="TableContents"/>
              <w:bidi w:val="0"/>
              <w:spacing w:before="0" w:after="283"/>
              <w:jc w:val="both"/>
              <w:rPr/>
            </w:pPr>
            <w:r>
              <w:rPr/>
              <w:t> </w:t>
            </w:r>
          </w:p>
        </w:tc>
        <w:tc>
          <w:tcPr>
            <w:tcW w:w="9510" w:type="dxa"/>
            <w:tcBorders/>
            <w:shd w:fill="CCEEFF" w:val="clear"/>
            <w:vAlign w:val="center"/>
          </w:tcPr>
          <w:p>
            <w:pPr>
              <w:pStyle w:val="TableContents"/>
              <w:bidi w:val="0"/>
              <w:spacing w:before="0" w:after="283"/>
              <w:jc w:val="both"/>
              <w:rPr/>
            </w:pPr>
            <w:hyperlink r:id="rId6">
              <w:r>
                <w:rPr>
                  <w:rStyle w:val="InternetLink"/>
                </w:rPr>
                <w:t>Amended and Restated Memorandum and Articles of Association of GCL Global Holdings Ltd (incorporated by reference to Exhibit 1.1 of the Company’s Shell Company Report on Form 20-F, filed with the SEC on February 26, 2025).</w:t>
              </w:r>
            </w:hyperlink>
          </w:p>
        </w:tc>
      </w:tr>
      <w:tr>
        <w:trPr/>
        <w:tc>
          <w:tcPr>
            <w:tcW w:w="635" w:type="dxa"/>
            <w:tcBorders/>
            <w:shd w:fill="FFFFFF" w:val="clear"/>
            <w:vAlign w:val="center"/>
          </w:tcPr>
          <w:p>
            <w:pPr>
              <w:pStyle w:val="TableContents"/>
              <w:bidi w:val="0"/>
              <w:spacing w:before="0" w:after="283"/>
              <w:jc w:val="both"/>
              <w:rPr/>
            </w:pPr>
            <w:r>
              <w:rPr/>
              <w:t>5.1*</w:t>
            </w:r>
          </w:p>
        </w:tc>
        <w:tc>
          <w:tcPr>
            <w:tcW w:w="60" w:type="dxa"/>
            <w:tcBorders/>
            <w:shd w:fill="FFFFFF" w:val="clear"/>
            <w:vAlign w:val="center"/>
          </w:tcPr>
          <w:p>
            <w:pPr>
              <w:pStyle w:val="TableContents"/>
              <w:bidi w:val="0"/>
              <w:spacing w:before="0" w:after="283"/>
              <w:jc w:val="both"/>
              <w:rPr/>
            </w:pPr>
            <w:r>
              <w:rPr/>
              <w:t> </w:t>
            </w:r>
          </w:p>
        </w:tc>
        <w:tc>
          <w:tcPr>
            <w:tcW w:w="9510" w:type="dxa"/>
            <w:tcBorders/>
            <w:shd w:fill="FFFFFF" w:val="clear"/>
            <w:vAlign w:val="center"/>
          </w:tcPr>
          <w:p>
            <w:pPr>
              <w:pStyle w:val="TableContents"/>
              <w:bidi w:val="0"/>
              <w:spacing w:before="0" w:after="283"/>
              <w:jc w:val="both"/>
              <w:rPr/>
            </w:pPr>
            <w:hyperlink w:anchor="ea030326701ex5-1.htm">
              <w:r>
                <w:rPr>
                  <w:rStyle w:val="InternetLink"/>
                </w:rPr>
                <w:t>Opinion of Carey Olsen Singapore LLP as to validity of Ordinary Shares</w:t>
              </w:r>
            </w:hyperlink>
          </w:p>
        </w:tc>
      </w:tr>
      <w:tr>
        <w:trPr/>
        <w:tc>
          <w:tcPr>
            <w:tcW w:w="635" w:type="dxa"/>
            <w:tcBorders/>
            <w:shd w:fill="CCEEFF" w:val="clear"/>
            <w:vAlign w:val="center"/>
          </w:tcPr>
          <w:p>
            <w:pPr>
              <w:pStyle w:val="TableContents"/>
              <w:bidi w:val="0"/>
              <w:spacing w:before="0" w:after="283"/>
              <w:jc w:val="both"/>
              <w:rPr/>
            </w:pPr>
            <w:r>
              <w:rPr/>
              <w:t>10.1</w:t>
            </w:r>
          </w:p>
        </w:tc>
        <w:tc>
          <w:tcPr>
            <w:tcW w:w="60" w:type="dxa"/>
            <w:tcBorders/>
            <w:shd w:fill="CCEEFF" w:val="clear"/>
            <w:vAlign w:val="center"/>
          </w:tcPr>
          <w:p>
            <w:pPr>
              <w:pStyle w:val="TableContents"/>
              <w:bidi w:val="0"/>
              <w:spacing w:before="0" w:after="283"/>
              <w:jc w:val="both"/>
              <w:rPr/>
            </w:pPr>
            <w:r>
              <w:rPr/>
              <w:t> </w:t>
            </w:r>
          </w:p>
        </w:tc>
        <w:tc>
          <w:tcPr>
            <w:tcW w:w="9510" w:type="dxa"/>
            <w:tcBorders/>
            <w:shd w:fill="CCEEFF" w:val="clear"/>
            <w:vAlign w:val="center"/>
          </w:tcPr>
          <w:p>
            <w:pPr>
              <w:pStyle w:val="TableContents"/>
              <w:bidi w:val="0"/>
              <w:spacing w:before="0" w:after="283"/>
              <w:jc w:val="both"/>
              <w:rPr/>
            </w:pPr>
            <w:hyperlink r:id="rId7">
              <w:r>
                <w:rPr>
                  <w:rStyle w:val="InternetLink"/>
                </w:rPr>
                <w:t>Form of Convertible Note Purchase Agreement (incorporated by reference to Exhibit 10.1 to the Form 8-K filed by RF Acquisition Corp. on October 18, 2024)</w:t>
              </w:r>
            </w:hyperlink>
          </w:p>
        </w:tc>
      </w:tr>
      <w:tr>
        <w:trPr/>
        <w:tc>
          <w:tcPr>
            <w:tcW w:w="635" w:type="dxa"/>
            <w:tcBorders/>
            <w:shd w:fill="FFFFFF" w:val="clear"/>
            <w:vAlign w:val="center"/>
          </w:tcPr>
          <w:p>
            <w:pPr>
              <w:pStyle w:val="TableContents"/>
              <w:bidi w:val="0"/>
              <w:spacing w:before="0" w:after="283"/>
              <w:jc w:val="both"/>
              <w:rPr/>
            </w:pPr>
            <w:r>
              <w:rPr/>
              <w:t>10.1.1</w:t>
            </w:r>
          </w:p>
        </w:tc>
        <w:tc>
          <w:tcPr>
            <w:tcW w:w="60" w:type="dxa"/>
            <w:tcBorders/>
            <w:shd w:fill="FFFFFF" w:val="clear"/>
            <w:vAlign w:val="center"/>
          </w:tcPr>
          <w:p>
            <w:pPr>
              <w:pStyle w:val="TableContents"/>
              <w:bidi w:val="0"/>
              <w:spacing w:before="0" w:after="283"/>
              <w:jc w:val="both"/>
              <w:rPr/>
            </w:pPr>
            <w:r>
              <w:rPr/>
              <w:t> </w:t>
            </w:r>
          </w:p>
        </w:tc>
        <w:tc>
          <w:tcPr>
            <w:tcW w:w="9510" w:type="dxa"/>
            <w:tcBorders/>
            <w:shd w:fill="FFFFFF" w:val="clear"/>
            <w:vAlign w:val="center"/>
          </w:tcPr>
          <w:p>
            <w:pPr>
              <w:pStyle w:val="TableContents"/>
              <w:bidi w:val="0"/>
              <w:spacing w:before="0" w:after="283"/>
              <w:jc w:val="both"/>
              <w:rPr/>
            </w:pPr>
            <w:hyperlink r:id="rId8">
              <w:r>
                <w:rPr>
                  <w:rStyle w:val="InternetLink"/>
                </w:rPr>
                <w:t>Form of Amendment to Convertible Note Purchase Agreement (incorporated by reference to Exhibit 10.1 to the Form 8-K filed by RF Acquisition Corp. on February 5, 2025)</w:t>
              </w:r>
            </w:hyperlink>
          </w:p>
        </w:tc>
      </w:tr>
      <w:tr>
        <w:trPr/>
        <w:tc>
          <w:tcPr>
            <w:tcW w:w="635" w:type="dxa"/>
            <w:tcBorders/>
            <w:shd w:fill="CCEEFF" w:val="clear"/>
            <w:vAlign w:val="center"/>
          </w:tcPr>
          <w:p>
            <w:pPr>
              <w:pStyle w:val="TableContents"/>
              <w:bidi w:val="0"/>
              <w:spacing w:before="0" w:after="283"/>
              <w:jc w:val="both"/>
              <w:rPr/>
            </w:pPr>
            <w:r>
              <w:rPr/>
              <w:t>23.1*</w:t>
            </w:r>
          </w:p>
        </w:tc>
        <w:tc>
          <w:tcPr>
            <w:tcW w:w="60" w:type="dxa"/>
            <w:tcBorders/>
            <w:shd w:fill="CCEEFF" w:val="clear"/>
            <w:vAlign w:val="center"/>
          </w:tcPr>
          <w:p>
            <w:pPr>
              <w:pStyle w:val="TableContents"/>
              <w:bidi w:val="0"/>
              <w:spacing w:before="0" w:after="283"/>
              <w:jc w:val="both"/>
              <w:rPr/>
            </w:pPr>
            <w:r>
              <w:rPr/>
              <w:t> </w:t>
            </w:r>
          </w:p>
        </w:tc>
        <w:tc>
          <w:tcPr>
            <w:tcW w:w="9510" w:type="dxa"/>
            <w:tcBorders/>
            <w:shd w:fill="CCEEFF" w:val="clear"/>
            <w:vAlign w:val="center"/>
          </w:tcPr>
          <w:p>
            <w:pPr>
              <w:pStyle w:val="TableContents"/>
              <w:bidi w:val="0"/>
              <w:spacing w:before="0" w:after="283"/>
              <w:jc w:val="both"/>
              <w:rPr/>
            </w:pPr>
            <w:hyperlink w:anchor="ea030326701ex23-1.htm">
              <w:r>
                <w:rPr>
                  <w:rStyle w:val="InternetLink"/>
                </w:rPr>
                <w:t>Consent from Marcum Asia CPAs LLP</w:t>
              </w:r>
            </w:hyperlink>
          </w:p>
        </w:tc>
      </w:tr>
      <w:tr>
        <w:trPr/>
        <w:tc>
          <w:tcPr>
            <w:tcW w:w="635" w:type="dxa"/>
            <w:tcBorders/>
            <w:shd w:fill="FFFFFF" w:val="clear"/>
            <w:vAlign w:val="center"/>
          </w:tcPr>
          <w:p>
            <w:pPr>
              <w:pStyle w:val="TableContents"/>
              <w:bidi w:val="0"/>
              <w:spacing w:before="0" w:after="283"/>
              <w:jc w:val="both"/>
              <w:rPr/>
            </w:pPr>
            <w:r>
              <w:rPr/>
              <w:t>23.2*</w:t>
            </w:r>
          </w:p>
        </w:tc>
        <w:tc>
          <w:tcPr>
            <w:tcW w:w="60" w:type="dxa"/>
            <w:tcBorders/>
            <w:shd w:fill="FFFFFF" w:val="clear"/>
            <w:vAlign w:val="center"/>
          </w:tcPr>
          <w:p>
            <w:pPr>
              <w:pStyle w:val="TableContents"/>
              <w:bidi w:val="0"/>
              <w:spacing w:before="0" w:after="283"/>
              <w:jc w:val="both"/>
              <w:rPr/>
            </w:pPr>
            <w:r>
              <w:rPr/>
              <w:t> </w:t>
            </w:r>
          </w:p>
        </w:tc>
        <w:tc>
          <w:tcPr>
            <w:tcW w:w="9510" w:type="dxa"/>
            <w:tcBorders/>
            <w:shd w:fill="FFFFFF" w:val="clear"/>
            <w:vAlign w:val="center"/>
          </w:tcPr>
          <w:p>
            <w:pPr>
              <w:pStyle w:val="TableContents"/>
              <w:bidi w:val="0"/>
              <w:spacing w:before="0" w:after="283"/>
              <w:jc w:val="both"/>
              <w:rPr/>
            </w:pPr>
            <w:hyperlink w:anchor="ea030326701ex23-2.htm">
              <w:r>
                <w:rPr>
                  <w:rStyle w:val="InternetLink"/>
                </w:rPr>
                <w:t>Consent from Ernst &amp; Young LLP</w:t>
              </w:r>
            </w:hyperlink>
          </w:p>
        </w:tc>
      </w:tr>
      <w:tr>
        <w:trPr/>
        <w:tc>
          <w:tcPr>
            <w:tcW w:w="635" w:type="dxa"/>
            <w:tcBorders/>
            <w:shd w:fill="CCEEFF" w:val="clear"/>
            <w:vAlign w:val="center"/>
          </w:tcPr>
          <w:p>
            <w:pPr>
              <w:pStyle w:val="TableContents"/>
              <w:bidi w:val="0"/>
              <w:spacing w:before="0" w:after="283"/>
              <w:jc w:val="both"/>
              <w:rPr/>
            </w:pPr>
            <w:r>
              <w:rPr/>
              <w:t>107*</w:t>
            </w:r>
          </w:p>
        </w:tc>
        <w:tc>
          <w:tcPr>
            <w:tcW w:w="60" w:type="dxa"/>
            <w:tcBorders/>
            <w:shd w:fill="CCEEFF" w:val="clear"/>
            <w:vAlign w:val="center"/>
          </w:tcPr>
          <w:p>
            <w:pPr>
              <w:pStyle w:val="TableContents"/>
              <w:bidi w:val="0"/>
              <w:spacing w:before="0" w:after="283"/>
              <w:jc w:val="both"/>
              <w:rPr/>
            </w:pPr>
            <w:r>
              <w:rPr/>
              <w:t> </w:t>
            </w:r>
          </w:p>
        </w:tc>
        <w:tc>
          <w:tcPr>
            <w:tcW w:w="9510" w:type="dxa"/>
            <w:tcBorders/>
            <w:shd w:fill="CCEEFF" w:val="clear"/>
            <w:vAlign w:val="center"/>
          </w:tcPr>
          <w:p>
            <w:pPr>
              <w:pStyle w:val="TableContents"/>
              <w:bidi w:val="0"/>
              <w:spacing w:before="0" w:after="283"/>
              <w:jc w:val="both"/>
              <w:rPr/>
            </w:pPr>
            <w:hyperlink w:anchor="ea030326701ex-fee.htm">
              <w:r>
                <w:rPr>
                  <w:rStyle w:val="InternetLink"/>
                </w:rPr>
                <w:t>Filing Fee Table</w:t>
              </w:r>
            </w:hyperlink>
          </w:p>
        </w:tc>
      </w:tr>
    </w:tbl>
    <w:p>
      <w:pPr>
        <w:pStyle w:val="TextBody"/>
        <w:bidi w:val="0"/>
        <w:spacing w:before="0" w:after="0"/>
        <w:jc w:val="left"/>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170"/>
        <w:gridCol w:w="1310"/>
      </w:tblGrid>
      <w:tr>
        <w:trPr/>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0"/>
      <w:bookmarkEnd w:id="21"/>
      <w:r>
        <w:rPr>
          <w:rFonts w:ascii="Times New Roman;Times;Serif" w:hAnsi="Times New Roman;Times;Serif"/>
          <w:b/>
          <w:i w:val="false"/>
          <w:caps w:val="false"/>
          <w:smallCaps w:val="false"/>
          <w:sz w:val="20"/>
        </w:rPr>
        <w:t>SIGNATURES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to be signed on its behalf by the undersigned, thereunto duly authorized, in Singapore, September 2, 2026.</w:t>
      </w:r>
    </w:p>
    <w:p>
      <w:pPr>
        <w:pStyle w:val="TextBody"/>
        <w:bidi w:val="0"/>
        <w:spacing w:before="0" w:after="0"/>
        <w:ind w:left="0" w:right="0" w:firstLine="36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GCL Global Holdings Ltd</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Sebastian Toke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Sebastian Toke</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Sebastian Toke, as his or her true and lawful attorney-in-fact and agent, with full power of substitution and resubstitution, for him or her and in his or her name, place and stead, in any and all capacities, to sign any and all amendments to this Registration Statement on Form F-3,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substitutes or substitute, may lawfully do or cause to be done by virtue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28" w:type="dxa"/>
          <w:right w:w="0" w:type="dxa"/>
        </w:tblCellMar>
      </w:tblPr>
      <w:tblGrid>
        <w:gridCol w:w="1730"/>
        <w:gridCol w:w="60"/>
        <w:gridCol w:w="3635"/>
        <w:gridCol w:w="60"/>
        <w:gridCol w:w="1550"/>
      </w:tblGrid>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6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Sebastian Toke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Group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Sebastian Toke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Kenny Lin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Group Chief Financial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Kenny Lin</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and Financial Officer)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Choo See Wee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Group Chairman</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Choo See Wee</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Choo See Ling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Operating Officer and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Choo See Ling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Tse Meng 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Tse Meng 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Joshua Kewei Cui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Joshua Kewei Cui</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r>
        <w:trPr/>
        <w:tc>
          <w:tcPr>
            <w:tcW w:w="173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Wilson W. Wang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September 2, 2026</w:t>
            </w:r>
          </w:p>
        </w:tc>
      </w:tr>
      <w:tr>
        <w:trPr/>
        <w:tc>
          <w:tcPr>
            <w:tcW w:w="173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Wilson W. Wang</w:t>
            </w:r>
          </w:p>
        </w:tc>
        <w:tc>
          <w:tcPr>
            <w:tcW w:w="60" w:type="dxa"/>
            <w:tcBorders/>
            <w:tcMar>
              <w:bottom w:w="0" w:type="dxa"/>
            </w:tcMar>
            <w:vAlign w:val="center"/>
          </w:tcPr>
          <w:p>
            <w:pPr>
              <w:pStyle w:val="TableContents"/>
              <w:bidi w:val="0"/>
              <w:spacing w:before="0" w:after="283"/>
              <w:jc w:val="left"/>
              <w:rPr/>
            </w:pPr>
            <w:r>
              <w:rPr/>
              <w:t> </w:t>
            </w:r>
          </w:p>
        </w:tc>
        <w:tc>
          <w:tcPr>
            <w:tcW w:w="36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 of the Securities Act of 1933, the undersigned, solely in his capacity as the duly authorized representative of GCL Global Holdings Ltd, has signed this registration statement in the City of New York, New York, on September 2, 2026.</w:t>
      </w:r>
    </w:p>
    <w:p>
      <w:pPr>
        <w:pStyle w:val="TextBody"/>
        <w:bidi w:val="0"/>
        <w:spacing w:before="0" w:after="0"/>
        <w:ind w:left="0" w:right="0" w:firstLine="360"/>
        <w:jc w:val="both"/>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75"/>
        <w:gridCol w:w="635"/>
        <w:gridCol w:w="4535"/>
      </w:tblGrid>
      <w:tr>
        <w:trPr/>
        <w:tc>
          <w:tcPr>
            <w:tcW w:w="75" w:type="dxa"/>
            <w:tcBorders/>
            <w:vAlign w:val="center"/>
          </w:tcPr>
          <w:p>
            <w:pPr>
              <w:pStyle w:val="TableContents"/>
              <w:bidi w:val="0"/>
              <w:spacing w:before="0" w:after="283"/>
              <w:jc w:val="left"/>
              <w:rPr/>
            </w:pPr>
            <w:r>
              <w:rPr/>
              <w:t> </w:t>
            </w:r>
          </w:p>
        </w:tc>
        <w:tc>
          <w:tcPr>
            <w:tcW w:w="517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COGENCY GLOBAL INC.</w:t>
            </w:r>
            <w:r>
              <w:rPr>
                <w:rFonts w:ascii="Times New Roman;Times;Serif" w:hAnsi="Times New Roman;Times;Serif"/>
                <w:sz w:val="20"/>
              </w:rPr>
              <w:t xml:space="preserve"> </w:t>
              <w:br/>
              <w:t>Authorized U.S. Representative</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pPr>
            <w:r>
              <w:rPr/>
              <w:t> </w:t>
            </w:r>
          </w:p>
        </w:tc>
        <w:tc>
          <w:tcPr>
            <w:tcW w:w="45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453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Colleen A. De Vries</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4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Vice-President on behalf of Cogency Global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2" w:name="ea030326701ex5-1.htm"/>
      <w:bookmarkStart w:id="23" w:name="ksea030326701ex51"/>
      <w:bookmarkEnd w:id="22"/>
      <w:bookmarkEnd w:id="23"/>
      <w:r>
        <w:rPr>
          <w:rFonts w:ascii="Times New Roman;Times;Serif" w:hAnsi="Times New Roman;Times;Serif"/>
          <w:b/>
          <w:i w:val="false"/>
          <w:caps w:val="false"/>
          <w:smallCaps w:val="false"/>
          <w:sz w:val="20"/>
        </w:rPr>
        <w:t>Exhibit 5.1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91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7143750" cy="914400"/>
                    </a:xfrm>
                    <a:prstGeom prst="rect">
                      <a:avLst/>
                    </a:prstGeom>
                  </pic:spPr>
                </pic:pic>
              </a:graphicData>
            </a:graphic>
          </wp:inline>
        </w:drawing>
      </w:r>
      <w:r>
        <w:rPr>
          <w:caps w:val="false"/>
          <w:smallCaps w:val="false"/>
        </w:rPr>
        <w:t> </w:t>
      </w:r>
    </w:p>
    <w:tbl>
      <w:tblPr>
        <w:tblW w:w="4384" w:type="dxa"/>
        <w:jc w:val="left"/>
        <w:tblInd w:w="0" w:type="dxa"/>
        <w:tblLayout w:type="fixed"/>
        <w:tblCellMar>
          <w:top w:w="0" w:type="dxa"/>
          <w:left w:w="0" w:type="dxa"/>
          <w:bottom w:w="0" w:type="dxa"/>
          <w:right w:w="0" w:type="dxa"/>
        </w:tblCellMar>
      </w:tblPr>
      <w:tblGrid>
        <w:gridCol w:w="752"/>
        <w:gridCol w:w="139"/>
        <w:gridCol w:w="3493"/>
      </w:tblGrid>
      <w:tr>
        <w:trPr/>
        <w:tc>
          <w:tcPr>
            <w:tcW w:w="7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ref:  </w:t>
            </w:r>
          </w:p>
        </w:tc>
        <w:tc>
          <w:tcPr>
            <w:tcW w:w="3632"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AMCK/AK/1084016/0002/G250250297v3</w:t>
            </w:r>
          </w:p>
        </w:tc>
      </w:tr>
      <w:tr>
        <w:trPr/>
        <w:tc>
          <w:tcPr>
            <w:tcW w:w="752" w:type="dxa"/>
            <w:tcBorders/>
            <w:vAlign w:val="center"/>
          </w:tcPr>
          <w:p>
            <w:pPr>
              <w:pStyle w:val="TableContents"/>
              <w:bidi w:val="0"/>
              <w:spacing w:before="0" w:after="283"/>
              <w:jc w:val="left"/>
              <w:rPr>
                <w:caps w:val="false"/>
                <w:smallCaps w:val="false"/>
              </w:rPr>
            </w:pPr>
            <w:r>
              <w:rPr>
                <w:caps w:val="false"/>
                <w:smallCaps w:val="false"/>
              </w:rPr>
              <w:t> </w:t>
            </w:r>
          </w:p>
        </w:tc>
        <w:tc>
          <w:tcPr>
            <w:tcW w:w="363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91"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34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September 2026</w:t>
            </w:r>
          </w:p>
        </w:tc>
      </w:tr>
      <w:tr>
        <w:trPr/>
        <w:tc>
          <w:tcPr>
            <w:tcW w:w="891" w:type="dxa"/>
            <w:gridSpan w:val="2"/>
            <w:tcBorders/>
            <w:vAlign w:val="center"/>
          </w:tcPr>
          <w:p>
            <w:pPr>
              <w:pStyle w:val="TableContents"/>
              <w:bidi w:val="0"/>
              <w:spacing w:before="0" w:after="283"/>
              <w:jc w:val="both"/>
              <w:rPr>
                <w:caps w:val="false"/>
                <w:smallCaps w:val="false"/>
              </w:rPr>
            </w:pPr>
            <w:r>
              <w:rPr>
                <w:caps w:val="false"/>
                <w:smallCaps w:val="false"/>
              </w:rPr>
              <w:t> </w:t>
            </w:r>
          </w:p>
        </w:tc>
        <w:tc>
          <w:tcPr>
            <w:tcW w:w="34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384" w:type="dxa"/>
            <w:gridSpan w:val="3"/>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GCL GLOBAL HOLDINGS LTD </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 CO Services Cayman Limited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P.O. Box 10008, Pavilion East </w:t>
              <w:br/>
              <w:t>Cricket Square</w:t>
              <w:br/>
              <w:t>Grand Cayman</w:t>
              <w:br/>
              <w:t xml:space="preserve">KY1-1001, Cayman Islands. </w:t>
            </w:r>
          </w:p>
        </w:tc>
      </w:tr>
      <w:tr>
        <w:trPr/>
        <w:tc>
          <w:tcPr>
            <w:tcW w:w="438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tc>
      </w:tr>
      <w:tr>
        <w:trPr/>
        <w:tc>
          <w:tcPr>
            <w:tcW w:w="4384"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4384"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GCL GLOBAL HOLDINGS LTD (the “Company”)</w:t>
            </w:r>
          </w:p>
        </w:tc>
      </w:tr>
      <w:tr>
        <w:trPr/>
        <w:tc>
          <w:tcPr>
            <w:tcW w:w="752" w:type="dxa"/>
            <w:tcBorders/>
            <w:vAlign w:val="center"/>
          </w:tcPr>
          <w:p>
            <w:pPr>
              <w:pStyle w:val="TableContents"/>
              <w:bidi w:val="0"/>
              <w:spacing w:before="0" w:after="283"/>
              <w:jc w:val="left"/>
              <w:rPr>
                <w:caps w:val="false"/>
                <w:smallCaps w:val="false"/>
              </w:rPr>
            </w:pPr>
            <w:r>
              <w:rPr>
                <w:caps w:val="false"/>
                <w:smallCaps w:val="false"/>
              </w:rPr>
              <w:t> </w:t>
            </w:r>
          </w:p>
        </w:tc>
        <w:tc>
          <w:tcPr>
            <w:tcW w:w="139" w:type="dxa"/>
            <w:tcBorders/>
            <w:vAlign w:val="center"/>
          </w:tcPr>
          <w:p>
            <w:pPr>
              <w:pStyle w:val="TableContents"/>
              <w:bidi w:val="0"/>
              <w:spacing w:before="0" w:after="283"/>
              <w:jc w:val="left"/>
              <w:rPr>
                <w:caps w:val="false"/>
                <w:smallCaps w:val="false"/>
              </w:rPr>
            </w:pPr>
            <w:r>
              <w:rPr>
                <w:caps w:val="false"/>
                <w:smallCaps w:val="false"/>
              </w:rPr>
              <w:t> </w:t>
            </w:r>
          </w:p>
        </w:tc>
        <w:tc>
          <w:tcPr>
            <w:tcW w:w="349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as to Cayman Islands law to the Company in connection with the resale of securities of the Company pursuant to the Company’s registration statement on Form F-3 filed with the United States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 or around the date hereof (including its exhibits,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for the purposes of, registering with the Commission under the Securities Act, the resale of up to 2,201,665 shares of a par value of US$0.0001 each in the capital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by the selling shareholders named in the prospectus contained in the Registration Statement (together,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and as set out below:</w:t>
      </w:r>
    </w:p>
    <w:p>
      <w:pPr>
        <w:pStyle w:val="TextBody"/>
        <w:bidi w:val="0"/>
        <w:spacing w:before="0" w:after="0"/>
        <w:ind w:left="0" w:right="0" w:hanging="0"/>
        <w:jc w:val="both"/>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290"/>
        <w:gridCol w:w="3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3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33,333 Shares issued to Kouichi Ito;</w:t>
            </w:r>
          </w:p>
        </w:tc>
      </w:tr>
    </w:tbl>
    <w:p>
      <w:pPr>
        <w:pStyle w:val="TextBody"/>
        <w:bidi w:val="0"/>
        <w:spacing w:before="0" w:after="0"/>
        <w:ind w:left="720" w:right="0" w:hanging="72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290"/>
        <w:gridCol w:w="36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3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13,333 Shares issued to MBK Co., Ltd;</w:t>
            </w:r>
          </w:p>
        </w:tc>
      </w:tr>
    </w:tbl>
    <w:p>
      <w:pPr>
        <w:pStyle w:val="TextBody"/>
        <w:bidi w:val="0"/>
        <w:spacing w:before="0" w:after="0"/>
        <w:ind w:left="720" w:right="0" w:hanging="720"/>
        <w:jc w:val="both"/>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90"/>
        <w:gridCol w:w="42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13,333 Shares issued to Naruhito Matsumuro; </w:t>
            </w:r>
          </w:p>
        </w:tc>
      </w:tr>
    </w:tbl>
    <w:p>
      <w:pPr>
        <w:pStyle w:val="TextBody"/>
        <w:bidi w:val="0"/>
        <w:spacing w:before="0" w:after="0"/>
        <w:ind w:left="720" w:right="0" w:hanging="72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290"/>
        <w:gridCol w:w="44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20,000 Shares issued to Hanroku Capital Co Ltd;</w:t>
            </w:r>
          </w:p>
        </w:tc>
      </w:tr>
    </w:tbl>
    <w:p>
      <w:pPr>
        <w:pStyle w:val="TextBody"/>
        <w:bidi w:val="0"/>
        <w:spacing w:before="0" w:after="0"/>
        <w:ind w:left="720" w:right="0" w:hanging="72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90"/>
        <w:gridCol w:w="43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4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133,334 Shares issued to Japan Investment Inc;</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Carey Olsen Singapore LLP (Registration No. T15LL1127K) is a limited liability partnership registered in Singapore under the Limited Liability Partnerships Act (Chapter 163A)</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143750" cy="438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7143750" cy="438150"/>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283"/>
        <w:jc w:val="left"/>
        <w:rPr/>
      </w:pPr>
      <w:r>
        <w:rPr/>
        <w:t> </w:t>
      </w:r>
    </w:p>
    <w:tbl>
      <w:tblPr>
        <w:tblW w:w="4060" w:type="dxa"/>
        <w:jc w:val="left"/>
        <w:tblInd w:w="0" w:type="dxa"/>
        <w:tblLayout w:type="fixed"/>
        <w:tblCellMar>
          <w:top w:w="0" w:type="dxa"/>
          <w:left w:w="0" w:type="dxa"/>
          <w:bottom w:w="0" w:type="dxa"/>
          <w:right w:w="0" w:type="dxa"/>
        </w:tblCellMar>
      </w:tblPr>
      <w:tblGrid>
        <w:gridCol w:w="290"/>
        <w:gridCol w:w="377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66,667 Shares issued to Satoshi Sakurai;</w:t>
            </w:r>
          </w:p>
        </w:tc>
      </w:tr>
    </w:tbl>
    <w:p>
      <w:pPr>
        <w:pStyle w:val="TextBody"/>
        <w:bidi w:val="0"/>
        <w:spacing w:before="0" w:after="0"/>
        <w:ind w:left="720" w:right="0" w:hanging="72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290"/>
        <w:gridCol w:w="36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20,000 Shares issued to Kunihiro Mita;</w:t>
            </w:r>
          </w:p>
        </w:tc>
      </w:tr>
    </w:tbl>
    <w:p>
      <w:pPr>
        <w:pStyle w:val="TextBody"/>
        <w:bidi w:val="0"/>
        <w:spacing w:before="0" w:after="0"/>
        <w:ind w:left="720" w:right="0" w:hanging="720"/>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290"/>
        <w:gridCol w:w="50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33,333 Shares issued to Mita Global Advisory Pte. Ltd.;</w:t>
            </w:r>
          </w:p>
        </w:tc>
      </w:tr>
    </w:tbl>
    <w:p>
      <w:pPr>
        <w:pStyle w:val="TextBody"/>
        <w:bidi w:val="0"/>
        <w:spacing w:before="0" w:after="0"/>
        <w:ind w:left="720" w:right="0" w:hanging="72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90"/>
        <w:gridCol w:w="357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3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67,500 Shares issued to Chen Junyao;</w:t>
            </w:r>
          </w:p>
        </w:tc>
      </w:tr>
    </w:tbl>
    <w:p>
      <w:pPr>
        <w:pStyle w:val="TextBody"/>
        <w:bidi w:val="0"/>
        <w:spacing w:before="0" w:after="0"/>
        <w:ind w:left="720" w:right="0" w:hanging="72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395"/>
        <w:gridCol w:w="53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5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200,000 Shares issued to Goh Choo Kian &amp; Teh Poh Choo;</w:t>
            </w:r>
          </w:p>
        </w:tc>
      </w:tr>
    </w:tbl>
    <w:p>
      <w:pPr>
        <w:pStyle w:val="TextBody"/>
        <w:bidi w:val="0"/>
        <w:spacing w:before="0" w:after="0"/>
        <w:ind w:left="720" w:right="0" w:hanging="72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395"/>
        <w:gridCol w:w="45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4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333,333 Shares issued to Joshua Guok Chin Tien;</w:t>
            </w:r>
          </w:p>
        </w:tc>
      </w:tr>
    </w:tbl>
    <w:p>
      <w:pPr>
        <w:pStyle w:val="TextBody"/>
        <w:bidi w:val="0"/>
        <w:spacing w:before="0" w:after="0"/>
        <w:ind w:left="720" w:right="0" w:hanging="72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95"/>
        <w:gridCol w:w="44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4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333,333 Shares issued to Guok Foundation Ltd.;</w:t>
            </w:r>
          </w:p>
        </w:tc>
      </w:tr>
    </w:tbl>
    <w:p>
      <w:pPr>
        <w:pStyle w:val="TextBody"/>
        <w:bidi w:val="0"/>
        <w:spacing w:before="0" w:after="0"/>
        <w:ind w:left="720" w:right="0" w:hanging="720"/>
        <w:jc w:val="both"/>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395"/>
        <w:gridCol w:w="37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3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67,500 Shares issued to Chin Kim Lung;</w:t>
            </w:r>
          </w:p>
        </w:tc>
      </w:tr>
    </w:tbl>
    <w:p>
      <w:pPr>
        <w:pStyle w:val="TextBody"/>
        <w:bidi w:val="0"/>
        <w:spacing w:before="0" w:after="0"/>
        <w:ind w:left="720" w:right="0" w:hanging="720"/>
        <w:jc w:val="both"/>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395"/>
        <w:gridCol w:w="49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666,666 Shares issued to Lyndon Leow Zhan Wei; and</w:t>
            </w:r>
          </w:p>
        </w:tc>
      </w:tr>
    </w:tbl>
    <w:p>
      <w:pPr>
        <w:pStyle w:val="TextBody"/>
        <w:bidi w:val="0"/>
        <w:spacing w:before="0" w:after="0"/>
        <w:ind w:left="720" w:right="0" w:hanging="720"/>
        <w:jc w:val="both"/>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395"/>
        <w:gridCol w:w="97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200,000 Shares issued to DH International Strategies Fund VCC (on behalf of its sub-fund DH Global Investment), </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set out in the Registration Statement and in accordance with the terms of the Documents (hereinafter defined).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in accordance with the terms of the Legal Matters section of the Registration Statement.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Capitalised terms used in this Opinion shall have the meanings ascribed to them in this Opinion and/or the Schedules.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val="false"/>
          <w:i w:val="false"/>
          <w:caps/>
          <w:sz w:val="20"/>
        </w:rPr>
        <w:t xml:space="preserve">2. </w:t>
      </w:r>
      <w:r>
        <w:rPr>
          <w:rFonts w:ascii="Times New Roman;Times;Serif" w:hAnsi="Times New Roman;Times;Serif"/>
          <w:b/>
          <w:i w:val="false"/>
          <w:caps/>
          <w:sz w:val="20"/>
        </w:rPr>
        <w:t>Scope of Opinion</w:t>
      </w:r>
    </w:p>
    <w:p>
      <w:pPr>
        <w:pStyle w:val="TextBody"/>
        <w:bidi w:val="0"/>
        <w:spacing w:before="0" w:after="0"/>
        <w:ind w:left="0" w:right="0" w:hanging="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only on the laws of the Cayman Islands in force at the date hereof and is based solely on matters of fact known to us at the date hereof. We have not investigated the laws or regulations of any jurisdiction other than the Cayman Islands (collectively, “</w:t>
      </w:r>
      <w:r>
        <w:rPr>
          <w:rFonts w:ascii="Times New Roman;Times;Serif" w:hAnsi="Times New Roman;Times;Serif"/>
          <w:b/>
          <w:i w:val="false"/>
          <w:caps w:val="false"/>
          <w:smallCaps w:val="false"/>
          <w:sz w:val="20"/>
        </w:rPr>
        <w:t>Foreign Laws</w:t>
      </w:r>
      <w:r>
        <w:rPr>
          <w:rFonts w:ascii="Times New Roman;Times;Serif" w:hAnsi="Times New Roman;Times;Serif"/>
          <w:b w:val="false"/>
          <w:i w:val="false"/>
          <w:caps w:val="false"/>
          <w:smallCaps w:val="false"/>
          <w:sz w:val="20"/>
        </w:rPr>
        <w:t>”). We express no opinion as to matters of fact or, unless expressly stated otherwise, the veracity of any representations or warranties given in or in connection with any of the documents set out in Schedule 1.</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1"/>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val="false"/>
          <w:i w:val="false"/>
          <w:caps/>
          <w:sz w:val="20"/>
        </w:rPr>
        <w:t xml:space="preserve">3. </w:t>
      </w:r>
      <w:r>
        <w:rPr>
          <w:rFonts w:ascii="Times New Roman;Times;Serif" w:hAnsi="Times New Roman;Times;Serif"/>
          <w:b/>
          <w:i w:val="false"/>
          <w:caps/>
          <w:sz w:val="20"/>
        </w:rPr>
        <w:t>Documents Reviewed and Enquiries Made</w:t>
      </w:r>
    </w:p>
    <w:p>
      <w:pPr>
        <w:pStyle w:val="TextBody"/>
        <w:bidi w:val="0"/>
        <w:spacing w:before="0" w:after="0"/>
        <w:ind w:left="0" w:right="0" w:hanging="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Opinion we have reviewed copies, conformed copies, certified copies or notarised copies of the documents set out in Schedule 1.</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val="false"/>
          <w:i w:val="false"/>
          <w:caps/>
          <w:sz w:val="20"/>
        </w:rPr>
        <w:t xml:space="preserve">4. </w:t>
      </w:r>
      <w:r>
        <w:rPr>
          <w:rFonts w:ascii="Times New Roman;Times;Serif" w:hAnsi="Times New Roman;Times;Serif"/>
          <w:b/>
          <w:i w:val="false"/>
          <w:caps/>
          <w:sz w:val="20"/>
        </w:rPr>
        <w:t>Assumptions and Qualifications</w:t>
      </w:r>
    </w:p>
    <w:p>
      <w:pPr>
        <w:pStyle w:val="TextBody"/>
        <w:bidi w:val="0"/>
        <w:spacing w:before="0" w:after="0"/>
        <w:ind w:left="0" w:right="0" w:hanging="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on the basis that the assumptions set out in Schedule 2 (which we have not independently investigated or verified) are true, complete and accurate in all respects. In addition, this Opinion is subject to the qualifications set out in Schedule 3.</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val="false"/>
          <w:i w:val="false"/>
          <w:caps/>
          <w:sz w:val="20"/>
        </w:rPr>
        <w:t xml:space="preserve">5. </w:t>
      </w:r>
      <w:r>
        <w:rPr>
          <w:rFonts w:ascii="Times New Roman;Times;Serif" w:hAnsi="Times New Roman;Times;Serif"/>
          <w:b/>
          <w:i w:val="false"/>
          <w:caps/>
          <w:sz w:val="20"/>
        </w:rPr>
        <w:t>Opinions</w:t>
      </w:r>
    </w:p>
    <w:p>
      <w:pPr>
        <w:pStyle w:val="TextBody"/>
        <w:bidi w:val="0"/>
        <w:spacing w:before="0" w:after="0"/>
        <w:ind w:left="0" w:right="0" w:hanging="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 the opinion that: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rPr>
        <w:t>Due incorporation, existence and status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duly incorporated as an exempted company with limited liability under the Companies Act (as revised) of the Cayman Islands, is validly existing and was, at the date of the Certificate of Good Standing, in good standing with the Registrar of Companies of the Cayman Islands (the “</w:t>
      </w:r>
      <w:r>
        <w:rPr>
          <w:rFonts w:ascii="Times New Roman;Times;Serif" w:hAnsi="Times New Roman;Times;Serif"/>
          <w:b/>
          <w:i w:val="false"/>
          <w:caps w:val="false"/>
          <w:smallCaps w:val="false"/>
          <w:sz w:val="20"/>
        </w:rPr>
        <w:t>Registrar</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rPr>
        <w:t>Authorised Share Capital</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our review of the Articles, the authorised share capital of the Company is US$50,000 divided into 500,000,000 shares of a par value of US$0.0001 each.</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rPr>
        <w:t xml:space="preserve">Valid Issuance of the Shares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being proposed for resale by the relevant Selling Shareholders have been validly issued, fully paid and non-assessable.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val="false"/>
          <w:i w:val="false"/>
          <w:caps/>
          <w:sz w:val="20"/>
        </w:rPr>
        <w:t xml:space="preserve">6. </w:t>
      </w:r>
      <w:r>
        <w:rPr>
          <w:rFonts w:ascii="Times New Roman;Times;Serif" w:hAnsi="Times New Roman;Times;Serif"/>
          <w:b/>
          <w:i w:val="false"/>
          <w:caps/>
          <w:sz w:val="20"/>
        </w:rPr>
        <w:t>Reliance</w:t>
      </w:r>
    </w:p>
    <w:p>
      <w:pPr>
        <w:pStyle w:val="TextBody"/>
        <w:bidi w:val="0"/>
        <w:spacing w:before="0" w:after="0"/>
        <w:ind w:left="0" w:right="0" w:hanging="0"/>
        <w:jc w:val="both"/>
        <w:rPr>
          <w:caps/>
        </w:rPr>
      </w:pPr>
      <w:r>
        <w:rPr>
          <w:caps/>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referred to in this Opinion we have not examined, and give no opinion on, any contracts, instruments or other documents (whether or not referred to in, or contemplated by, the Documents). We do not give any opinion on the commercial merits of any transaction contemplated or entered into under or pursuant to the Documents. This Opinion is issued solely for the purposes of the filing of the Registration Statement and the offering of the Securities by the Company and is not to be relied upon in respect of any other matter.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2"/>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(and any obligations arising out of or in connection with it) is given on the basis that it shall be governed by and construed in accordance with the laws of the Cayman Islands. By relying on the opinions set out in this Opinion the addressee(s) hereby irrevocably agree(s) that the courts of the Cayman Islands are to have exclusive jurisdiction to settle any disputes which may arise in connection with this Opinion. We assume no responsibility to advise any person entitled to rely on this Opinion, or to undertake any investigations, as to any change in Cayman Islands law (or its application) or factual matters arising after the date of this Opinion, which might affect the opinions set out herein.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as exhibit 5.1 to the Registration Statement. We hereby consent to the filing of this opinion as an exhibit to the Registration Statement and also consent to the reference to this firm in the Registration Statement under the heading “Legal Matters”. In giving this consent, we do not hereby admit that we are experts within the meaning of Section 11 of the Securities Act or that we are within the category of persons whose consent is required under Section 7 of the Securities Act or the rules and regulations of the Commission promulgated thereunder.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however, this Opinion is addressed to, and is solely for the benefit of, the addressee and may not be relied upon by any other person without our prior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 Carey Olsen Singapore LLP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Carey Olsen Singapore LLP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3"/>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REVIEWED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Documents Reviewed</w:t>
      </w:r>
    </w:p>
    <w:p>
      <w:pPr>
        <w:pStyle w:val="TextBody"/>
        <w:bidi w:val="0"/>
        <w:spacing w:before="0" w:after="0"/>
        <w:ind w:left="851" w:right="0" w:hanging="0"/>
        <w:jc w:val="both"/>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85"/>
        <w:gridCol w:w="58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of the Company dated 12 October 2023.</w:t>
            </w:r>
          </w:p>
        </w:tc>
      </w:tr>
    </w:tbl>
    <w:p>
      <w:pPr>
        <w:pStyle w:val="TextBody"/>
        <w:bidi w:val="0"/>
        <w:spacing w:before="0" w:after="0"/>
        <w:ind w:left="85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memorandum and articles of association of the Company adopted by special resolution passed on 13 February 2025 (collectively,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w:t>
            </w:r>
          </w:p>
        </w:tc>
      </w:tr>
    </w:tbl>
    <w:p>
      <w:pPr>
        <w:pStyle w:val="TextBody"/>
        <w:bidi w:val="0"/>
        <w:spacing w:before="0" w:after="0"/>
        <w:ind w:left="85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 of directors and officers of the Company as at 2 September 2026 and register of members of the Company maintained by Continental Stock Transfer &amp; Trust Company as provided to us electronically on 29 August 2026 (together, the “</w:t>
            </w:r>
            <w:r>
              <w:rPr>
                <w:rFonts w:ascii="Times New Roman;Times;Serif" w:hAnsi="Times New Roman;Times;Serif"/>
                <w:b/>
                <w:i w:val="false"/>
                <w:caps w:val="false"/>
                <w:smallCaps w:val="false"/>
                <w:sz w:val="20"/>
              </w:rPr>
              <w:t>Registers</w:t>
            </w:r>
            <w:r>
              <w:rPr>
                <w:rFonts w:ascii="Times New Roman;Times;Serif" w:hAnsi="Times New Roman;Times;Serif"/>
                <w:b w:val="false"/>
                <w:i w:val="false"/>
                <w:caps w:val="false"/>
                <w:smallCaps w:val="false"/>
                <w:sz w:val="20"/>
              </w:rPr>
              <w:t>”).</w:t>
            </w:r>
          </w:p>
        </w:tc>
      </w:tr>
    </w:tbl>
    <w:p>
      <w:pPr>
        <w:pStyle w:val="TextBody"/>
        <w:bidi w:val="0"/>
        <w:spacing w:before="0" w:after="0"/>
        <w:ind w:left="85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of good standing relating to the Company issued by the Registrar dated 26 August 2026 (the “</w:t>
            </w:r>
            <w:r>
              <w:rPr>
                <w:rFonts w:ascii="Times New Roman;Times;Serif" w:hAnsi="Times New Roman;Times;Serif"/>
                <w:b/>
                <w:i w:val="false"/>
                <w:caps w:val="false"/>
                <w:smallCaps w:val="false"/>
                <w:sz w:val="20"/>
              </w:rPr>
              <w:t>Certificate of Good Standing</w:t>
            </w:r>
            <w:r>
              <w:rPr>
                <w:rFonts w:ascii="Times New Roman;Times;Serif" w:hAnsi="Times New Roman;Times;Serif"/>
                <w:b w:val="false"/>
                <w:i w:val="false"/>
                <w:caps w:val="false"/>
                <w:smallCaps w:val="false"/>
                <w:sz w:val="20"/>
              </w:rPr>
              <w:t>”).</w:t>
            </w:r>
          </w:p>
        </w:tc>
      </w:tr>
    </w:tbl>
    <w:p>
      <w:pPr>
        <w:pStyle w:val="TextBody"/>
        <w:bidi w:val="0"/>
        <w:spacing w:before="0" w:after="0"/>
        <w:ind w:left="85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signed (i) written resolutions of the sole director of the Company dated 9 September 2024 approving certain transactions in respect of the Shares and (ii) unanimous written resolutions of the board of directors of the Company dated 2 September 2026 ratifying, </w:t>
            </w:r>
            <w:r>
              <w:rPr>
                <w:rFonts w:ascii="Times New Roman;Times;Serif" w:hAnsi="Times New Roman;Times;Serif"/>
                <w:b w:val="false"/>
                <w:i/>
                <w:caps w:val="false"/>
                <w:smallCaps w:val="false"/>
                <w:sz w:val="20"/>
              </w:rPr>
              <w:t>inter-alia</w:t>
            </w:r>
            <w:r>
              <w:rPr>
                <w:rFonts w:ascii="Times New Roman;Times;Serif" w:hAnsi="Times New Roman;Times;Serif"/>
                <w:b w:val="false"/>
                <w:i w:val="false"/>
                <w:caps w:val="false"/>
                <w:smallCaps w:val="false"/>
                <w:sz w:val="20"/>
              </w:rPr>
              <w:t>, the issuance of the Shares (the “</w:t>
            </w:r>
            <w:r>
              <w:rPr>
                <w:rFonts w:ascii="Times New Roman;Times;Serif" w:hAnsi="Times New Roman;Times;Serif"/>
                <w:b/>
                <w:i w:val="false"/>
                <w:caps w:val="false"/>
                <w:smallCaps w:val="false"/>
                <w:sz w:val="20"/>
              </w:rPr>
              <w:t>Resolutions</w:t>
            </w:r>
            <w:r>
              <w:rPr>
                <w:rFonts w:ascii="Times New Roman;Times;Serif" w:hAnsi="Times New Roman;Times;Serif"/>
                <w:b w:val="false"/>
                <w:i w:val="false"/>
                <w:caps w:val="false"/>
                <w:smallCaps w:val="false"/>
                <w:sz w:val="20"/>
              </w:rPr>
              <w:t>”).</w:t>
            </w:r>
          </w:p>
        </w:tc>
      </w:tr>
    </w:tbl>
    <w:p>
      <w:pPr>
        <w:pStyle w:val="TextBody"/>
        <w:bidi w:val="0"/>
        <w:spacing w:before="0" w:after="0"/>
        <w:ind w:left="85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to be filed with United States Securities and Exchange Commission on or around 2 September 2026.</w:t>
            </w:r>
          </w:p>
        </w:tc>
      </w:tr>
    </w:tbl>
    <w:p>
      <w:pPr>
        <w:pStyle w:val="TextBody"/>
        <w:bidi w:val="0"/>
        <w:spacing w:before="0" w:after="0"/>
        <w:ind w:left="851"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signed convertible note purchase agreements dated September and December 2024 between the Company, GCL Global Limited, Epicsoft Asia Pte. Ltd. and each relevant Selling Shareholder in relation to,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issuance of the Shares, as amended pursuant to the relevant amendments dated January and February 2025 between the same parties (the “</w:t>
            </w:r>
            <w:r>
              <w:rPr>
                <w:rFonts w:ascii="Times New Roman;Times;Serif" w:hAnsi="Times New Roman;Times;Serif"/>
                <w:b/>
                <w:i w:val="false"/>
                <w:caps w:val="false"/>
                <w:smallCaps w:val="false"/>
                <w:sz w:val="20"/>
              </w:rPr>
              <w:t>Documents</w:t>
            </w:r>
            <w:r>
              <w:rPr>
                <w:rFonts w:ascii="Times New Roman;Times;Serif" w:hAnsi="Times New Roman;Times;Serif"/>
                <w:b w:val="false"/>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sz w:val="20"/>
        </w:rPr>
        <w:t xml:space="preserve">Scope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are the only documents we have examined for the purposes of this Opinion.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4"/>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ASSUMPTIONS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power (including both capacity and authority), legal right and good standing of each of the parties to the Documents (other than the Company under the laws of the Cayman Islands) to execute, date, unconditionally deliver and perform their obligations under, and their due authorisation, execution, dating and unconditional delivery of, the Documents.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Document constitutes legal, valid and binding obligations, enforceable in accordance with their terms, of each party to that Document under all laws other than, in the case of the Company, the laws of the Cayman Islands. The Documents have been signed, dated and delivered by the parties thereto.</w:t>
            </w:r>
          </w:p>
        </w:tc>
      </w:tr>
    </w:tbl>
    <w:p>
      <w:pPr>
        <w:pStyle w:val="TextBody"/>
        <w:bidi w:val="0"/>
        <w:spacing w:before="0" w:after="0"/>
        <w:ind w:left="720" w:right="0" w:hanging="709"/>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185"/>
        <w:gridCol w:w="90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Certificate of Good Standing and the Registers accurate and complete as at the date of this Opinion.</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authorisations, consents, filings, registrations or other requirements of governmental, judicial or public bodies and authorities required under any law (including the laws of the Cayman Islands) for any party (other than under the laws of the Cayman Islands, the Company) to execute, or deliver, or enforce any Document or perform any of its obligations under any Document have been obtained, remain valid and subsisting and have been complied with or validly waived.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governing law in each of the Documents has been freely made in good faith (for example not made with any intention of avoiding provisions of the law with which the transactions under the Documents, or the documents entered into pursuant thereto, have the closest and most real connection) and, where such law is a Foreign Law, would be regarded as a valid and binding selection, which will be upheld by the courts of such jurisdiction as a matter of such governing law and all other laws (other than the laws of the Cayman Islands). There is no reason for avoiding that choice of governing law on grounds of public policy or otherwise.</w:t>
            </w:r>
          </w:p>
        </w:tc>
      </w:tr>
    </w:tbl>
    <w:p>
      <w:pPr>
        <w:pStyle w:val="TextBody"/>
        <w:bidi w:val="0"/>
        <w:spacing w:before="0" w:after="0"/>
        <w:ind w:left="720" w:right="0" w:hanging="72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185"/>
        <w:gridCol w:w="99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invitation, whether directly or indirectly, has been made to the public in the Cayman Islands to subscribe for the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Proceeds of Crime Act (as revised) of the Cayman Islands relating to money laundering, the Misuse of Drugs Act (as revised) of the Cayman Islands relating to drug trafficking or the Terrorism Act (as revised) of the Cayman Islands relating to the financing of terrorism is relevant to the transactions contemplated by the Documents or to any payment made or to be made thereunder.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5"/>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parties to the Documents, or the documents executed pursuant thereto, is acting, or will act in a matter inconsistent with United Nations or United Kingdom sanctions as implemented under the laws of the Cayman Islands or extended to the Cayman Islands by the Orders of His Majesty in Council.</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necessary consents have been given, actions taken (other than those required pursuant to the laws of the Cayman Islands or the Articles) and conditions met or validly waived pursuant to the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parties has entered into, or assumed its obligations under, the Documents in good faith for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commercial reasons and on arm’s length terms.</w:t>
            </w:r>
          </w:p>
        </w:tc>
      </w:tr>
    </w:tbl>
    <w:p>
      <w:pPr>
        <w:pStyle w:val="TextBody"/>
        <w:bidi w:val="0"/>
        <w:spacing w:before="0" w:after="0"/>
        <w:ind w:left="720" w:right="0" w:hanging="72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290"/>
        <w:gridCol w:w="95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conformity to the original documents of all copy documents supplied to us (whether in hard or soft copy format).</w:t>
            </w:r>
          </w:p>
        </w:tc>
      </w:tr>
    </w:tbl>
    <w:p>
      <w:pPr>
        <w:pStyle w:val="TextBody"/>
        <w:bidi w:val="0"/>
        <w:spacing w:before="0" w:after="0"/>
        <w:ind w:left="720" w:right="0" w:hanging="72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290"/>
        <w:gridCol w:w="879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authenticity, accuracy and completeness of all documents supplied to us, whether as originals or copies.</w:t>
            </w:r>
          </w:p>
        </w:tc>
      </w:tr>
    </w:tbl>
    <w:p>
      <w:pPr>
        <w:pStyle w:val="TextBody"/>
        <w:bidi w:val="0"/>
        <w:spacing w:before="0" w:after="0"/>
        <w:ind w:left="720" w:right="0" w:hanging="72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genuineness of all signatures, stamps, initials, seals, dates and markings on documents submitted to us.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we have been provided with a document in executed form or with only the signature page of an executed document, that such executed document does not differ from the latest draft version of the document provided to us and, where a document has been reviewed by us in draft or specimen form, it will be or has been executed in the form of that draft or specimen.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Document has been amended, modified, supplemented, revoked, rescinded or terminated since the time of its execution.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document or other information or matter that has not been provided or disclosed to us, which could affect the accuracy of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290"/>
        <w:gridCol w:w="876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the Documents as principal for its own account and not as agent or fiduciary.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p>
      <w:pPr>
        <w:pStyle w:val="TextBody"/>
        <w:bidi w:val="0"/>
        <w:spacing w:before="0" w:after="0"/>
        <w:ind w:left="720" w:right="0" w:hanging="72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290"/>
        <w:gridCol w:w="39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Foreign Law qualifies or affects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and phrases used in any documents that we have reviewed that are not governed by Cayman Islands law have the same meanings and effect as they would have if those documents were governed by Cayman Islands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the Shares at the time of issuance shall not exceed the then authorised share capital of the Company available for issuance.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Resolutions remain in full force and effect and have not been amended, modified, supplemented, revoked, rescinded or terminated in any way.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power and authority of the Company and the directors of the Company have not been restricted in any way other than as set out in the Documents, Articles or as arising under Cayman Islands law.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contractual or other obligation, prohibition or restriction (other than arising by operation of the laws of the Cayman Islands or as set out in the Articles) which may limit the Company’s ability to enter into or perform its obligations under the Documents.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nothing in the corporate records or minute book of the Company (which we have not inspected) which would affect this Opinion.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and immediately following the execution of the Documents, each of the parties thereto was solvent (both on a “going concern” and “balance sheet” basis) and did not enter into the Documents with the intent to defraud any creditor, prefer one creditor over another or wilfully defeat any obligation owed to a creditor.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entry into, assumption of and/or performance of its obligations contained in the Documents, each of its authorised representatives has acted in accordance with his fiduciary and other duties to the Company under all relevant laws (including any relevant Foreign Laws) and the Articles (including in relation to any obligation to disclose a conflict of interest in connection therewith).</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a central bank, monetary authority or other sovereign entity of any state nor a subsidiary of any such entity and does not benefit from sovereign immunity pursuant to the UK State Immunity Act 1978, as extended to the Cayman Islands by statutory order.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of issuance, any Shares shall be issued by the Company against payment in full, which shall be equal to at least the par value thereof, and shall be duly registered in the Company’s register of members.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conditions or deliverables as set out in any Document will have been duly satisfied and / or waived in accordance with the relevant Document or governing law of that Document.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under the laws of the United States of America of the Registration Statement and that the Registration Statement will be duly filed with and declared effective by the Commission; and that the Registration Statement declared effective by the Commission will be in substantially the same form as that examined by us for purposes of this opinion.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7"/>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3</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QUALIFICATIONS</w:t>
      </w:r>
    </w:p>
    <w:p>
      <w:pPr>
        <w:pStyle w:val="TextBody"/>
        <w:bidi w:val="0"/>
        <w:spacing w:before="0" w:after="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under the Documents will not necessarily be legal, valid, binding or enforceable in all circumstances and this Opinion is not to be taken to imply that each obligation would necessarily be capable of enforcement or be enforced in all circumstances in accordance with its terms. In particular, but without limitation:</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binding effect, validity and enforceability of obligations may be limited by laws relating to bankruptcy, administration, insolvency, moratorium, liquidation, restructuring, dissolution, re-organisation and other laws of general application relating to, or affecting the rights of, creditors;</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enforcement may be limited by general principles of equity. For example, equitable remedies such as specific performance or the issuing of an injunction are available only at the discretion of the court and may not be available where, for example, damages are considered to be an adequate alternative and we therefore express no opinion on whether such remedies will be granted if sought;</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may be or become barred under the laws relating to the prescription and limitation of actions or may become subject to the general doctrine of estoppel or waiver in relation to representations, acts or omissions of any relevant party or may become subject to defences of set-off or counterclaim;</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may not enforce contractual provisions to the extent that the same may be illegal or contrary to public policy in the Cayman Islands (for example, a provision purporting to indemnify or exculpate a person for an action which constitutes actual fraud or a criminal offence) or, if obligations are to be performed in a jurisdiction outside the Cayman Islands, to the extent that such performance would be illegal or invalid or contrary to public policy in that jurisdiction;</w:t>
            </w:r>
          </w:p>
        </w:tc>
      </w:tr>
    </w:tbl>
    <w:p>
      <w:pPr>
        <w:pStyle w:val="TextBody"/>
        <w:bidi w:val="0"/>
        <w:spacing w:before="0" w:after="0"/>
        <w:ind w:left="1276" w:right="0" w:hanging="567"/>
        <w:jc w:val="both"/>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230"/>
        <w:gridCol w:w="8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judgment of the courts of the Cayman Islands may be required to be satisfied in Cayman Islands dollars;</w:t>
            </w:r>
          </w:p>
        </w:tc>
      </w:tr>
    </w:tbl>
    <w:p>
      <w:pPr>
        <w:pStyle w:val="TextBody"/>
        <w:bidi w:val="0"/>
        <w:spacing w:before="0" w:after="0"/>
        <w:ind w:left="1276" w:right="0" w:hanging="567"/>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8"/>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10</w:t>
      </w:r>
    </w:p>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have jurisdiction to give judgment in the currency of the relevant obligation and statutory rates of interest will vary according to the currency of the judgment. In a liquidation proceeding, the courts of the Cayman Islands will require all debts to be proved in a common currency, which is likely to be the “functional currency” of the party being liquidated determined in accordance with applicable accountancy principles. Currency indemnity provisions have not been tested, so far as we are aware, in the courts of the Cayman Islands and as such may not be enforceable;</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may decline to accept jurisdiction in an action where they determine that there is another more appropriate forum in another jurisdiction or that a court of competent jurisdiction has already made a determination of the relevant matter or where there is litigation pending in respect thereof in another jurisdiction or it may stay proceedings if concurrent proceedings are instituted elsewhere;</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presumption that the courts of the Cayman Islands will give effect to an exclusive jurisdiction clause in an agreement and upon application, may stay proceedings brought in the Cayman Islands or grant an anti-suit injunction against a party that commences proceedings elsewhere where such proceedings are in breach of the exclusive jurisdiction clause, unless a party can satisfy the courts of the Cayman Islands that it would be just and equitable to depart from that presumption (for example, not to do so would deprive one party of access to justice);</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 purporting to fetter any statutory power of a Cayman Islands partnership or company (for example, a provision restricting the company’s power to commence winding up, to alter its Articles or to increase its share capital) may not be enforceable;</w:t>
            </w:r>
          </w:p>
        </w:tc>
      </w:tr>
    </w:tbl>
    <w:p>
      <w:pPr>
        <w:pStyle w:val="TextBody"/>
        <w:bidi w:val="0"/>
        <w:spacing w:before="0" w:after="0"/>
        <w:ind w:left="1276" w:right="0" w:hanging="567"/>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20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that purport to require parties to reach agreement in the future may be unenforceable for lack of certainty;</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may find that a hybrid dispute resolution clause, though generally recognised under Cayman Islands law, is unenforceable on the grounds, amongst others, that it confers concurrent jurisdiction on an arbitral tribunal and the courts of the Cayman Islands;</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of the Cayman Islands may refuse to enforce a provision that amounts to an indemnity in respect of the costs of enforcement or of unsuccessful proceedings brought in the Cayman Islands where such courts have already made an order to that effect;</w:t>
            </w:r>
          </w:p>
        </w:tc>
      </w:tr>
    </w:tbl>
    <w:p>
      <w:pPr>
        <w:pStyle w:val="TextBody"/>
        <w:bidi w:val="0"/>
        <w:spacing w:before="0" w:after="0"/>
        <w:ind w:left="1276" w:right="0" w:hanging="567"/>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9"/>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w:t>
      </w:r>
    </w:p>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courts of the Cayman Islands determine that a contractual term may be interpreted in more than one manner the courts may employ the one that is deemed to be most consistent with business and common sense;</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 judgment (in the Cayman Islands or elsewhere) relating to a particular agreement or instrument would be held to supersede the terms of such agreement or instrument with the effect that, notwithstanding any express term to the contrary in such agreement or instrument, such terms would cease to be binding;</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enforcement of contractual obligations may be limited by the provisions of Cayman Islands law applicable to agreements or contracts held to have been frustrated by events happening after the relevant agreement or contract was entered into; and</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enforcement of obligations may be invalidated or vitiated by reason of fraud, duress, undue influence, mistake, illegality or misrepresentation.</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 as to whether the acceptance of, or the execution or performance of, the Company’s obligations under the Documents will or may result in the breach or infringement of any other deed, contract or document entered into by, or binding upon, the Company (other than the Articles).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investigated or confirmed whether any of the parties to the Documents other than the Company is registered, incorporated, formed or doing business in or from the Cayman Islands, and our Opinion is qualified to the extent that any such party is so registered, incorporated, formed or operating.</w:t>
            </w:r>
          </w:p>
        </w:tc>
      </w:tr>
    </w:tbl>
    <w:p>
      <w:pPr>
        <w:pStyle w:val="TextBody"/>
        <w:bidi w:val="0"/>
        <w:spacing w:before="0" w:after="0"/>
        <w:ind w:left="720" w:right="0" w:hanging="709"/>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185"/>
        <w:gridCol w:w="287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permitted by statute, a provision for the payment of additional moneys or the forfeiture of property or rights for breach of a contractual obligation, whether expressed by way of penalty, additional interest, liquidated damages or otherwise, will be unenforceable if such a payment or forfeiture is held to constitute a penalty. We express no opinion as to whether any provision constitutes a penalty;</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and concepts (for example the difference between “negligence” and “gross negligence”), though commonly used, have not yet been clearly defined by the courts of the Cayman Islands;</w:t>
            </w:r>
          </w:p>
        </w:tc>
      </w:tr>
    </w:tbl>
    <w:p>
      <w:pPr>
        <w:pStyle w:val="TextBody"/>
        <w:bidi w:val="0"/>
        <w:spacing w:before="0" w:after="0"/>
        <w:ind w:left="1276" w:right="0" w:hanging="567"/>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0"/>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12</w:t>
      </w:r>
    </w:p>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agreements are only effective from the date on which they are signed notwithstanding that they may contain an earlier stated effective or “as of” date;</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that it is expressly stated as such, a power of attorney or other grant of agency (including an agent for service of process) will not be irrevocable unless, as a factual matter, it is coupled with an interest or given to secure a proprietary interest of the donee or the performance of an obligation owed to a donee; </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that a breach of the provisions of a document has caused or is likely to cause damage to a party thereto, or would, on the face of such document, give rise to a specified liability or consequence, a non-breaching party may be under an obligation to take reasonable steps to mitigate any loss and the Cayman Islands courts may take any failure to do so into account when determining whether or not to award damages or grant relief to a claimant;</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courts may, in limited circumstances (primarily in relation to fiduciary-like or long-term arrangements) imply a contractual duty of good faith on parties, notwithstanding the absence of any such express term in a document;</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in very limited circumstances (for example, deeds poll and/or where rights are held on trust), can a person who is not party to an agreement governed by Cayman Islands law enforce the terms of that agreement against one or more of the parties thereto, unless such person has been expressly granted the right in the agreement to enforce such terms pursuant to The Contracts (Rights of Third Parties) Act, 2014 of the Cayman Islands; and</w:t>
            </w:r>
          </w:p>
        </w:tc>
      </w:tr>
    </w:tbl>
    <w:p>
      <w:pPr>
        <w:pStyle w:val="TextBody"/>
        <w:bidi w:val="0"/>
        <w:spacing w:before="0" w:after="0"/>
        <w:ind w:left="1276"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of an agreement that purports to impose obligations on a person who is not party to such agreement will not be enforceable against such person.</w:t>
            </w:r>
          </w:p>
        </w:tc>
      </w:tr>
    </w:tbl>
    <w:p>
      <w:pPr>
        <w:pStyle w:val="TextBody"/>
        <w:bidi w:val="0"/>
        <w:spacing w:before="0" w:after="0"/>
        <w:ind w:left="1276" w:right="0" w:hanging="567"/>
        <w:jc w:val="both"/>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185"/>
        <w:gridCol w:w="806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no opinion as to the existence or value of, or any party’s interest in, any property or assets.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an exempted company in good standing with the Registrar, annual fees must be paid and annual filings must be made with the Registrar within the prescribed periods.</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Stamp duty will be payable if documents are executed in the Cayman Islands or originals are brought into the Cayman Islands following execution.</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1"/>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13</w:t>
      </w:r>
    </w:p>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provision that a calculation, determination, opinion, exercise of power or certificate will be conclusive and binding may not be effective or enforceable if such calculation, determination, opinion, exercise of power or certificate is given unreasonably, arbitrarily or without good faith or which is fraudulent or manifestly inaccurate and will not necessarily prevent judicial enquiry into the merits of any claim.</w:t>
            </w:r>
          </w:p>
        </w:tc>
      </w:tr>
    </w:tbl>
    <w:p>
      <w:pPr>
        <w:pStyle w:val="TextBody"/>
        <w:bidi w:val="0"/>
        <w:spacing w:before="0" w:after="0"/>
        <w:ind w:left="720" w:right="0" w:hanging="709"/>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85"/>
        <w:gridCol w:w="818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shares or alteration to the status of the members of the Company will be void if made:</w:t>
            </w:r>
          </w:p>
        </w:tc>
      </w:tr>
    </w:tbl>
    <w:p>
      <w:pPr>
        <w:pStyle w:val="TextBody"/>
        <w:bidi w:val="0"/>
        <w:spacing w:before="0" w:after="0"/>
        <w:ind w:left="720" w:right="0" w:hanging="709"/>
        <w:jc w:val="both"/>
        <w:rPr>
          <w:caps/>
        </w:rPr>
      </w:pPr>
      <w:r>
        <w:rPr>
          <w:caps/>
        </w:rPr>
        <w:t> </w:t>
      </w:r>
    </w:p>
    <w:tbl>
      <w:tblPr>
        <w:tblW w:w="10113" w:type="dxa"/>
        <w:jc w:val="left"/>
        <w:tblInd w:w="0" w:type="dxa"/>
        <w:tblLayout w:type="fixed"/>
        <w:tblCellMar>
          <w:top w:w="0" w:type="dxa"/>
          <w:left w:w="0" w:type="dxa"/>
          <w:bottom w:w="0" w:type="dxa"/>
          <w:right w:w="0" w:type="dxa"/>
        </w:tblCellMar>
      </w:tblPr>
      <w:tblGrid>
        <w:gridCol w:w="38"/>
        <w:gridCol w:w="23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court and after the date of the commencement of a winding up of the Company by the court; or</w:t>
            </w:r>
          </w:p>
        </w:tc>
      </w:tr>
    </w:tbl>
    <w:p>
      <w:pPr>
        <w:pStyle w:val="TextBody"/>
        <w:bidi w:val="0"/>
        <w:spacing w:before="0" w:after="0"/>
        <w:ind w:left="1418" w:right="0" w:hanging="648"/>
        <w:jc w:val="both"/>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245"/>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liquidator and after the commencement of a voluntary winding up of the Company.</w:t>
            </w:r>
          </w:p>
        </w:tc>
      </w:tr>
    </w:tbl>
    <w:p>
      <w:pPr>
        <w:pStyle w:val="TextBody"/>
        <w:bidi w:val="0"/>
        <w:spacing w:before="0" w:after="0"/>
        <w:ind w:left="1418" w:right="0" w:hanging="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question of whether or not any provision of an agreement or document which is illegal, invalid, unenforceable or void may be severed from the other provisions thereof would be determined by the courts of the Cayman Islands in its discretion.</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no comment on references to any Foreign Laws or to any representations or warranties made in any agreement or document.</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terms releasing or exculpating any party from, or limiting or excluding, a liability (or duty otherwise owed) may be limited by law, and confidentiality obligations may be overridden by the requirements of legal or regulatory process or applicable law.</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exercise a right, or any delay in such exercise, may operate as a waiver of that right notwithstanding a provision to the contrary.</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Cayman Islands law, the register of members (shareholders) is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‎5.3, there are no circumstances or matters of fact known to us on the date of this opinion letter which would properly form the basis for an application for an order for rectification of the register of members of the Company, but if such an application were made in respect of the Shares, then the validity of such shares may be subject to re-examination by a Cayman Islands court.</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 letter, the phrase “non-assessable” means, with respect to the issuance of shares, that a shareholder shall not, in respect of the relevant shares and in the absence of a contractual arrangement, or an obligation pursuant to the Articles,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720" w:right="0" w:hanging="70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on any provision in any agreement or document requiring written amendments and waivers thereof insofar as it suggests that all or other modifications, amendments or waivers could not be effectively agreed upon or granted by or between the parties. It is likely that the provisions of an agreement or document governed by Cayman Islands law may be waived or amended orally or by conduct notwithstanding any such provision.</w:t>
            </w:r>
          </w:p>
        </w:tc>
      </w:tr>
    </w:tbl>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0" w:right="0" w:hanging="0"/>
        <w:jc w:val="right"/>
        <w:rPr>
          <w:bdr w:val="single" w:sz="12" w:space="1" w:color="000000"/>
        </w:rPr>
      </w:pPr>
      <w:r>
        <w:rPr>
          <w:bdr w:val="single" w:sz="12" w:space="1" w:color="000000"/>
        </w:rPr>
        <w:drawing>
          <wp:inline distT="0" distB="0" distL="0" distR="0">
            <wp:extent cx="3057525" cy="3143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2"/>
                    <a:stretch>
                      <a:fillRect/>
                    </a:stretch>
                  </pic:blipFill>
                  <pic:spPr bwMode="auto">
                    <a:xfrm>
                      <a:off x="0" y="0"/>
                      <a:ext cx="3057525" cy="314325"/>
                    </a:xfrm>
                    <a:prstGeom prst="rect">
                      <a:avLst/>
                    </a:prstGeom>
                  </pic:spPr>
                </pic:pic>
              </a:graphicData>
            </a:graphic>
          </wp:inline>
        </w:drawing>
      </w:r>
    </w:p>
    <w:p>
      <w:pPr>
        <w:pStyle w:val="TextBody"/>
        <w:bidi w:val="0"/>
        <w:spacing w:before="0" w:after="0"/>
        <w:ind w:left="720" w:right="0" w:hanging="709"/>
        <w:jc w:val="both"/>
        <w:rPr>
          <w:caps w:val="false"/>
          <w:smallCaps w:val="false"/>
        </w:rPr>
      </w:pPr>
      <w:r>
        <w:rPr>
          <w:caps w:val="false"/>
          <w:smallCaps w:val="false"/>
        </w:rPr>
        <w:t> </w:t>
      </w:r>
    </w:p>
    <w:p>
      <w:pPr>
        <w:pStyle w:val="TextBody"/>
        <w:bidi w:val="0"/>
        <w:spacing w:before="0" w:after="0"/>
        <w:ind w:left="0" w:right="0" w:hanging="0"/>
        <w:jc w:val="right"/>
        <w:rPr>
          <w:b/>
        </w:rPr>
      </w:pPr>
      <w:bookmarkStart w:id="24" w:name="ea030326701ex23-1.htm"/>
      <w:bookmarkStart w:id="25" w:name="ksea030326701ex231"/>
      <w:bookmarkEnd w:id="24"/>
      <w:bookmarkEnd w:id="25"/>
      <w:r>
        <w:rPr>
          <w:b/>
        </w:rPr>
        <w:t>Exhibit 23.1</w:t>
      </w:r>
      <w:r>
        <w:br w:type="page"/>
      </w:r>
    </w:p>
    <w:p>
      <w:pPr>
        <w:pStyle w:val="TextBody"/>
        <w:bidi w:val="0"/>
        <w:spacing w:before="0" w:after="0"/>
        <w:ind w:left="0" w:right="0" w:hanging="0"/>
        <w:jc w:val="left"/>
        <w:rPr/>
      </w:pPr>
      <w:r>
        <w:rPr/>
        <w:t> </w:t>
      </w:r>
    </w:p>
    <w:p>
      <w:pPr>
        <w:pStyle w:val="TextBody"/>
        <w:bidi w:val="0"/>
        <w:spacing w:before="0" w:after="0"/>
        <w:jc w:val="center"/>
        <w:rPr/>
      </w:pPr>
      <w:r>
        <w:rPr/>
        <w:drawing>
          <wp:inline distT="0" distB="0" distL="0" distR="0">
            <wp:extent cx="2381250" cy="3143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3"/>
                    <a:stretch>
                      <a:fillRect/>
                    </a:stretch>
                  </pic:blipFill>
                  <pic:spPr bwMode="auto">
                    <a:xfrm>
                      <a:off x="0" y="0"/>
                      <a:ext cx="2381250" cy="31432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jc w:val="center"/>
        <w:rPr>
          <w:b/>
          <w:u w:val="single"/>
        </w:rPr>
      </w:pPr>
      <w:r>
        <w:rPr>
          <w:b/>
          <w:u w:val="single"/>
        </w:rPr>
        <w:t>Independent Registered Public Accounting Firm’s Consent</w:t>
      </w:r>
    </w:p>
    <w:p>
      <w:pPr>
        <w:pStyle w:val="TextBody"/>
        <w:bidi w:val="0"/>
        <w:spacing w:before="0" w:after="0"/>
        <w:jc w:val="center"/>
        <w:rPr/>
      </w:pPr>
      <w:r>
        <w:rPr/>
        <w:t> </w:t>
      </w:r>
    </w:p>
    <w:p>
      <w:pPr>
        <w:pStyle w:val="TextBody"/>
        <w:bidi w:val="0"/>
        <w:spacing w:before="0" w:after="0"/>
        <w:jc w:val="both"/>
        <w:rPr/>
      </w:pPr>
      <w:r>
        <w:rPr/>
        <w:t>We consent to the incorporation by reference in this Registration Statement on Form F-3 of our report dated July 31, 2025 relating to the consolidated financial statements appearing in the Annual Report on Form 20-F of GCL Global Holdings Ltd. for the year ended March 31, 2026. We also consent to the reference to us under the heading “Experts” in such Registration Statement.</w:t>
      </w:r>
    </w:p>
    <w:p>
      <w:pPr>
        <w:pStyle w:val="TextBody"/>
        <w:bidi w:val="0"/>
        <w:spacing w:before="0" w:after="0"/>
        <w:jc w:val="both"/>
        <w:rPr/>
      </w:pPr>
      <w:r>
        <w:rPr/>
        <w:t> </w:t>
      </w:r>
    </w:p>
    <w:p>
      <w:pPr>
        <w:pStyle w:val="TextBody"/>
        <w:bidi w:val="0"/>
        <w:spacing w:before="0" w:after="0"/>
        <w:jc w:val="both"/>
        <w:rPr/>
      </w:pPr>
      <w:r>
        <w:rPr/>
        <w:t>/s/ Marcum Asia CPAs LLP</w:t>
      </w:r>
    </w:p>
    <w:p>
      <w:pPr>
        <w:pStyle w:val="TextBody"/>
        <w:bidi w:val="0"/>
        <w:spacing w:before="0" w:after="0"/>
        <w:jc w:val="both"/>
        <w:rPr/>
      </w:pPr>
      <w:r>
        <w:rPr/>
        <w:t> </w:t>
      </w:r>
    </w:p>
    <w:p>
      <w:pPr>
        <w:pStyle w:val="TextBody"/>
        <w:bidi w:val="0"/>
        <w:spacing w:before="0" w:after="0"/>
        <w:jc w:val="both"/>
        <w:rPr/>
      </w:pPr>
      <w:r>
        <w:rPr/>
        <w:t>New York, NY</w:t>
        <w:br/>
        <w:t>September 2, 2026</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center"/>
        <w:rPr/>
      </w:pPr>
      <w:r>
        <w:rPr/>
        <w:t>NEW YORK OFFICE ● 7 Penn Plaza ● Suite 830 ● New York, New York ● 10001</w:t>
      </w:r>
    </w:p>
    <w:p>
      <w:pPr>
        <w:pStyle w:val="TextBody"/>
        <w:bidi w:val="0"/>
        <w:spacing w:before="0" w:after="0"/>
        <w:jc w:val="center"/>
        <w:rPr/>
      </w:pPr>
      <w:r>
        <w:rPr/>
        <w:t>Phone 646.442.4845 ● Fax 646.349.5200 ● www.marcumasia.com</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326701ex23-2.htm"/>
      <w:bookmarkStart w:id="27" w:name="ksea030326701ex232"/>
      <w:bookmarkEnd w:id="26"/>
      <w:bookmarkEnd w:id="27"/>
      <w:r>
        <w:rPr>
          <w:rFonts w:ascii="Times New Roman;Times;Serif" w:hAnsi="Times New Roman;Times;Serif"/>
          <w:b/>
          <w:i w:val="false"/>
          <w:caps w:val="false"/>
          <w:smallCaps w:val="false"/>
          <w:sz w:val="20"/>
        </w:rPr>
        <w:t>Exhibit 23.2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the Registration Statement on Form F-3 and related Prospectus of GCL Global Holdings Ltd for the registration of the securities described in such Form F-3, and to the incorporation by reference therein of our report dated July 31, 2026, with respect to the consolidated financial statements of GCL Global Holdings Ltd included in its Annual Report (Form 20-F) for the year ended March 31, 2026,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Ernst &amp; Young LLP (UEN T08LL0859H) is a limited liability partnership registered in Singapore under the Limited Liability Partnerships Act 2005.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firm of Ernst &amp; Young Global Limited.</w:t>
      </w:r>
    </w:p>
    <w:p>
      <w:pPr>
        <w:pStyle w:val="TextBody"/>
        <w:bidi w:val="0"/>
        <w:spacing w:before="0" w:after="240"/>
        <w:jc w:val="right"/>
        <w:rPr>
          <w:rFonts w:ascii="Times New Roman;Times;Serif" w:hAnsi="Times New Roman;Times;Serif"/>
          <w:b/>
          <w:i w:val="false"/>
          <w:caps w:val="false"/>
          <w:smallCaps w:val="false"/>
          <w:sz w:val="24"/>
        </w:rPr>
      </w:pPr>
      <w:bookmarkStart w:id="28" w:name="ea030326701ex-fee.htm"/>
      <w:bookmarkStart w:id="29" w:name="ksea030326701exfee"/>
      <w:bookmarkEnd w:id="28"/>
      <w:bookmarkEnd w:id="29"/>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GCL Global Holdings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205" w:type="dxa"/>
        <w:jc w:val="left"/>
        <w:tblInd w:w="0" w:type="dxa"/>
        <w:tblLayout w:type="fixed"/>
        <w:tblCellMar>
          <w:top w:w="0" w:type="dxa"/>
          <w:left w:w="0" w:type="dxa"/>
          <w:bottom w:w="0" w:type="dxa"/>
          <w:right w:w="0" w:type="dxa"/>
        </w:tblCellMar>
      </w:tblPr>
      <w:tblGrid>
        <w:gridCol w:w="543"/>
        <w:gridCol w:w="60"/>
        <w:gridCol w:w="807"/>
        <w:gridCol w:w="60"/>
        <w:gridCol w:w="889"/>
        <w:gridCol w:w="60"/>
        <w:gridCol w:w="575"/>
        <w:gridCol w:w="60"/>
        <w:gridCol w:w="1105"/>
        <w:gridCol w:w="60"/>
        <w:gridCol w:w="1036"/>
        <w:gridCol w:w="60"/>
        <w:gridCol w:w="173"/>
        <w:gridCol w:w="847"/>
        <w:gridCol w:w="60"/>
        <w:gridCol w:w="142"/>
        <w:gridCol w:w="1306"/>
        <w:gridCol w:w="60"/>
        <w:gridCol w:w="1040"/>
        <w:gridCol w:w="60"/>
        <w:gridCol w:w="200"/>
        <w:gridCol w:w="1002"/>
      </w:tblGrid>
      <w:tr>
        <w:trPr/>
        <w:tc>
          <w:tcPr>
            <w:tcW w:w="5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r>
      <w:tr>
        <w:trPr/>
        <w:tc>
          <w:tcPr>
            <w:tcW w:w="543"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7"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889"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5"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36"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48"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202"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left"/>
              <w:rPr/>
            </w:pPr>
            <w:r>
              <w:rPr/>
              <w:t> </w:t>
            </w:r>
          </w:p>
        </w:tc>
      </w:tr>
      <w:tr>
        <w:trPr/>
        <w:tc>
          <w:tcPr>
            <w:tcW w:w="10205" w:type="dxa"/>
            <w:gridSpan w:val="22"/>
            <w:tcBorders/>
            <w:vAlign w:val="center"/>
          </w:tcPr>
          <w:p>
            <w:pPr>
              <w:pStyle w:val="TableContents"/>
              <w:bidi w:val="0"/>
              <w:spacing w:before="0" w:after="283"/>
              <w:jc w:val="center"/>
              <w:rPr>
                <w:i/>
              </w:rPr>
            </w:pPr>
            <w:r>
              <w:rPr>
                <w:i/>
              </w:rPr>
              <w:t>Newly Registered Securities</w:t>
            </w:r>
          </w:p>
        </w:tc>
      </w:tr>
      <w:tr>
        <w:trPr/>
        <w:tc>
          <w:tcPr>
            <w:tcW w:w="543"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Ordinary Shares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right"/>
              <w:rPr/>
            </w:pPr>
            <w:r>
              <w:rPr/>
              <w:t>2,201,665</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w:t>
            </w:r>
          </w:p>
        </w:tc>
        <w:tc>
          <w:tcPr>
            <w:tcW w:w="847" w:type="dxa"/>
            <w:tcBorders/>
            <w:vAlign w:val="center"/>
          </w:tcPr>
          <w:p>
            <w:pPr>
              <w:pStyle w:val="TableContents"/>
              <w:bidi w:val="0"/>
              <w:spacing w:before="0" w:after="283"/>
              <w:jc w:val="right"/>
              <w:rPr/>
            </w:pPr>
            <w:r>
              <w:rPr/>
              <w:t>0.5952</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1,310,431.01</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002" w:type="dxa"/>
            <w:tcBorders/>
            <w:vAlign w:val="center"/>
          </w:tcPr>
          <w:p>
            <w:pPr>
              <w:pStyle w:val="TableContents"/>
              <w:bidi w:val="0"/>
              <w:spacing w:before="0" w:after="283"/>
              <w:jc w:val="right"/>
              <w:rPr/>
            </w:pPr>
            <w:r>
              <w:rPr/>
              <w:t>180.97</w:t>
            </w:r>
          </w:p>
        </w:tc>
      </w:tr>
      <w:tr>
        <w:trPr/>
        <w:tc>
          <w:tcPr>
            <w:tcW w:w="5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bottom w:val="single" w:sz="8" w:space="0" w:color="000000"/>
            </w:tcBorders>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35"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w:t>
            </w:r>
          </w:p>
        </w:tc>
        <w:tc>
          <w:tcPr>
            <w:tcW w:w="1306" w:type="dxa"/>
            <w:tcBorders/>
            <w:vAlign w:val="center"/>
          </w:tcPr>
          <w:p>
            <w:pPr>
              <w:pStyle w:val="TableContents"/>
              <w:bidi w:val="0"/>
              <w:spacing w:before="0" w:after="283"/>
              <w:jc w:val="right"/>
              <w:rPr/>
            </w:pPr>
            <w:r>
              <w:rPr/>
              <w:t>1,310,431.01</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180.97</w:t>
            </w:r>
          </w:p>
        </w:tc>
      </w:tr>
      <w:tr>
        <w:trPr/>
        <w:tc>
          <w:tcPr>
            <w:tcW w:w="6335"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002" w:type="dxa"/>
            <w:tcBorders/>
            <w:vAlign w:val="center"/>
          </w:tcPr>
          <w:p>
            <w:pPr>
              <w:pStyle w:val="TableContents"/>
              <w:bidi w:val="0"/>
              <w:spacing w:before="0" w:after="283"/>
              <w:jc w:val="right"/>
              <w:rPr/>
            </w:pPr>
            <w:r>
              <w:rPr/>
              <w:t>0.00</w:t>
            </w:r>
          </w:p>
        </w:tc>
      </w:tr>
      <w:tr>
        <w:trPr/>
        <w:tc>
          <w:tcPr>
            <w:tcW w:w="6335"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bottom w:val="single" w:sz="8" w:space="0" w:color="000000"/>
            </w:tcBorders>
            <w:tcMar>
              <w:bottom w:w="28" w:type="dxa"/>
            </w:tcMar>
            <w:vAlign w:val="center"/>
          </w:tcPr>
          <w:p>
            <w:pPr>
              <w:pStyle w:val="TableContents"/>
              <w:bidi w:val="0"/>
              <w:spacing w:before="0" w:after="283"/>
              <w:jc w:val="left"/>
              <w:rPr/>
            </w:pPr>
            <w:r>
              <w:rPr/>
              <w:t> </w:t>
            </w:r>
          </w:p>
        </w:tc>
        <w:tc>
          <w:tcPr>
            <w:tcW w:w="1002"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335"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bottom w:val="double" w:sz="8" w:space="0" w:color="000000"/>
            </w:tcBorders>
            <w:tcMar>
              <w:bottom w:w="28" w:type="dxa"/>
            </w:tcMar>
            <w:vAlign w:val="center"/>
          </w:tcPr>
          <w:p>
            <w:pPr>
              <w:pStyle w:val="TableContents"/>
              <w:bidi w:val="0"/>
              <w:spacing w:before="0" w:after="283"/>
              <w:jc w:val="left"/>
              <w:rPr/>
            </w:pPr>
            <w:r>
              <w:rPr/>
              <w:t>$</w:t>
            </w:r>
          </w:p>
        </w:tc>
        <w:tc>
          <w:tcPr>
            <w:tcW w:w="1002" w:type="dxa"/>
            <w:tcBorders>
              <w:bottom w:val="double" w:sz="8" w:space="0" w:color="000000"/>
            </w:tcBorders>
            <w:tcMar>
              <w:bottom w:w="28" w:type="dxa"/>
            </w:tcMar>
            <w:vAlign w:val="center"/>
          </w:tcPr>
          <w:p>
            <w:pPr>
              <w:pStyle w:val="TableContents"/>
              <w:bidi w:val="0"/>
              <w:spacing w:before="0" w:after="283"/>
              <w:jc w:val="right"/>
              <w:rPr/>
            </w:pPr>
            <w:r>
              <w:rPr/>
              <w:t>180.97</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Pursuant to Rule 416 under the Securities Act of 1933, as amended (the “Securities Act”), the registrant is also registering an indeterminate number of additional ordinary shares that may become issuable to prevent dilution from any stock splits, stock dividends or similar transactions that could affect the securities to be offered by the Selling Shareholders named in this Registration Statement, and the ordinary shares set forth in this table shall be adjusted to include such shares, as applicable.</w:t>
              <w:br/>
              <w:br/>
              <w:t>Represents Ordinary Shares being registered for resale by the selling shareholders named in this registration statement.</w:t>
              <w:br/>
              <w:br/>
              <w:t>Based on the average of the high and low prices of the registrant’s ordinary shares on the Nasdaq on August 31, 2026.</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2002045/000121390026084021/ea0297613-20f_gclglobal.htm" TargetMode="External"/><Relationship Id="rId4" Type="http://schemas.openxmlformats.org/officeDocument/2006/relationships/hyperlink" Target="http://www.sec.gov/Archives/edgar/data/2002045/000110465925012646/tm256412d1_8a12b.htm" TargetMode="External"/><Relationship Id="rId5" Type="http://schemas.openxmlformats.org/officeDocument/2006/relationships/hyperlink" Target="https://www.sec.gov/Archives/edgar/data/2002045/000121390026094639/ea0303805-6k_gcl.htm" TargetMode="External"/><Relationship Id="rId6" Type="http://schemas.openxmlformats.org/officeDocument/2006/relationships/hyperlink" Target="http://www.sec.gov/Archives/edgar/data/2002045/000121390025017448/ea023214801ex1-1_gclglobal.htm" TargetMode="External"/><Relationship Id="rId7" Type="http://schemas.openxmlformats.org/officeDocument/2006/relationships/hyperlink" Target="http://www.sec.gov/Archives/edgar/data/1847607/000110465924109871/tm2425993d1_ex10-1.htm" TargetMode="External"/><Relationship Id="rId8" Type="http://schemas.openxmlformats.org/officeDocument/2006/relationships/hyperlink" Target="http://www.sec.gov/Archives/edgar/data/1847607/000110465925009455/tm255401d1_ex10-1.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image" Target="media/image4.jpeg"/><Relationship Id="rId14" Type="http://schemas.openxmlformats.org/officeDocument/2006/relationships/image" Target="media/image4.jpeg"/><Relationship Id="rId15" Type="http://schemas.openxmlformats.org/officeDocument/2006/relationships/image" Target="media/image4.jpeg"/><Relationship Id="rId16" Type="http://schemas.openxmlformats.org/officeDocument/2006/relationships/image" Target="media/image4.jpeg"/><Relationship Id="rId17" Type="http://schemas.openxmlformats.org/officeDocument/2006/relationships/image" Target="media/image4.jpeg"/><Relationship Id="rId18" Type="http://schemas.openxmlformats.org/officeDocument/2006/relationships/image" Target="media/image4.jpeg"/><Relationship Id="rId19" Type="http://schemas.openxmlformats.org/officeDocument/2006/relationships/image" Target="media/image4.jpeg"/><Relationship Id="rId20" Type="http://schemas.openxmlformats.org/officeDocument/2006/relationships/image" Target="media/image4.jpeg"/><Relationship Id="rId21" Type="http://schemas.openxmlformats.org/officeDocument/2006/relationships/image" Target="media/image4.jpeg"/><Relationship Id="rId22" Type="http://schemas.openxmlformats.org/officeDocument/2006/relationships/image" Target="media/image4.jpeg"/><Relationship Id="rId23" Type="http://schemas.openxmlformats.org/officeDocument/2006/relationships/image" Target="media/image5.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25838</Words>
  <Characters>136043</Characters>
  <CharactersWithSpaces>162039</CharactersWithSpaces>
  <Paragraphs>2355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