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740"/>
        <w:spacing w:after="0"/>
        <w:rPr>
          <w:sz w:val="20"/>
          <w:szCs w:val="20"/>
          <w:color w:val="auto"/>
        </w:rPr>
      </w:pPr>
      <w:r>
        <w:rPr>
          <w:rFonts w:ascii="Times New Roman" w:cs="Times New Roman" w:eastAsia="Times New Roman" w:hAnsi="Times New Roman"/>
          <w:sz w:val="18"/>
          <w:szCs w:val="18"/>
          <w:b w:val="1"/>
          <w:bCs w:val="1"/>
          <w:color w:val="auto"/>
        </w:rPr>
        <w:t>As filed with the U.S. Securities and Exchange Commission on June 5, 2026</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Statement No. 333-290032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POST-EFFECTIVE AMENDMENT NO. 1</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F-1</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F-3</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STATEMENT</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 THE SECURITIES ACT OF 1933</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GCL GLOBAL HOLDINGS LTD</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Cayman Islands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7372</w:t>
            </w:r>
          </w:p>
        </w:tc>
        <w:tc>
          <w:tcPr>
            <w:tcW w:w="200" w:type="dxa"/>
            <w:vAlign w:val="bottom"/>
          </w:tcPr>
          <w:p>
            <w:pPr>
              <w:spacing w:after="0"/>
              <w:rPr>
                <w:sz w:val="21"/>
                <w:szCs w:val="21"/>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tc>
      </w:tr>
      <w:tr>
        <w:trPr>
          <w:trHeight w:val="198"/>
        </w:trPr>
        <w:tc>
          <w:tcPr>
            <w:tcW w:w="36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(State or other jurisdiction of</w:t>
            </w:r>
          </w:p>
        </w:tc>
        <w:tc>
          <w:tcPr>
            <w:tcW w:w="22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(Primary Standard Industrial</w:t>
            </w:r>
          </w:p>
        </w:tc>
        <w:tc>
          <w:tcPr>
            <w:tcW w:w="20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incorporation or organization)</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Classification Code Number)</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29 Tai Seng Avenue #02-01</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Natural Cool Lifestyle Hub</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Singapore 534119</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 +65 80427330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including zip code, and telephone number, including area code, of Registrant’s principal executive offices)</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Cogency Global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122 East 42nd Street, 18th Floor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 York, NY 10168</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 (800) 221-0102</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address, including zip code, and telephone number, including area code, of agent for service)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Copies of communications to:</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Jane K. P. Tam</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Loeb &amp; Loeb LLP</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901 New York Avenue NW</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20001</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 618-5000</w:t>
      </w:r>
    </w:p>
    <w:p>
      <w:pPr>
        <w:spacing w:after="0" w:line="207"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color w:val="auto"/>
        </w:rPr>
        <w:t>Approximate date of commencement of proposed sale to the public: From time to time after this Registration Statement is declared effective.</w:t>
      </w:r>
    </w:p>
    <w:p>
      <w:pPr>
        <w:spacing w:after="0" w:line="225" w:lineRule="exact"/>
        <w:rPr>
          <w:sz w:val="24"/>
          <w:szCs w:val="24"/>
          <w:color w:val="auto"/>
        </w:rPr>
      </w:pPr>
    </w:p>
    <w:p>
      <w:pPr>
        <w:jc w:val="both"/>
        <w:ind w:firstLine="324"/>
        <w:spacing w:after="0" w:line="239" w:lineRule="exact"/>
        <w:rPr>
          <w:sz w:val="20"/>
          <w:szCs w:val="20"/>
          <w:color w:val="auto"/>
        </w:rPr>
      </w:pPr>
      <w:r>
        <w:rPr>
          <w:rFonts w:ascii="Times New Roman" w:cs="Times New Roman" w:eastAsia="Times New Roman" w:hAnsi="Times New Roman"/>
          <w:sz w:val="18"/>
          <w:szCs w:val="18"/>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jc w:val="both"/>
        <w:ind w:firstLine="324"/>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0" w:lineRule="exact"/>
        <w:rPr>
          <w:sz w:val="24"/>
          <w:szCs w:val="24"/>
          <w:color w:val="auto"/>
        </w:rPr>
      </w:pPr>
    </w:p>
    <w:p>
      <w:pPr>
        <w:jc w:val="both"/>
        <w:ind w:right="20" w:firstLine="324"/>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0" w:lineRule="exact"/>
        <w:rPr>
          <w:sz w:val="24"/>
          <w:szCs w:val="24"/>
          <w:color w:val="auto"/>
        </w:rPr>
      </w:pPr>
    </w:p>
    <w:p>
      <w:pPr>
        <w:jc w:val="both"/>
        <w:ind w:firstLine="324"/>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0"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w:t>
      </w:r>
    </w:p>
    <w:p>
      <w:pPr>
        <w:spacing w:after="0" w:line="184"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w:t>
      </w:r>
    </w:p>
    <w:p>
      <w:pPr>
        <w:spacing w:after="0" w:line="207" w:lineRule="exact"/>
        <w:rPr>
          <w:sz w:val="20"/>
          <w:szCs w:val="20"/>
          <w:color w:val="auto"/>
        </w:rPr>
      </w:pPr>
      <w:r>
        <w:rPr>
          <w:rFonts w:ascii="Times New Roman" w:cs="Times New Roman" w:eastAsia="Times New Roman" w:hAnsi="Times New Roman"/>
          <w:sz w:val="18"/>
          <w:szCs w:val="18"/>
          <w:color w:val="auto"/>
        </w:rPr>
        <w:t xml:space="preserve">(2)(B) of the Securities Act. </w:t>
      </w:r>
      <w:r>
        <w:rPr>
          <w:rFonts w:ascii="MS PGothic" w:cs="MS PGothic" w:eastAsia="MS PGothic" w:hAnsi="MS PGothic"/>
          <w:sz w:val="18"/>
          <w:szCs w:val="18"/>
          <w:color w:val="auto"/>
        </w:rPr>
        <w:t>☐</w:t>
      </w:r>
    </w:p>
    <w:p>
      <w:pPr>
        <w:spacing w:after="0" w:line="208" w:lineRule="exact"/>
        <w:rPr>
          <w:sz w:val="24"/>
          <w:szCs w:val="24"/>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597535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794"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September 4, 2025, GCL Global Holdings Ltd (the “Registrant”), filed a Registration Statement on Form F-1 (Registration No. 333-290032), which was subsequently declared effective by the Securities and Exchange Commission (the “SEC”) on September 8, 2025 (the “Registration Statement”). This Post-Effective Amendment No. 1 to the Registration Statement is being filed by the Registrant to (i) convert the Registration Statement into a registration statement on Form F-3 (the “Post-Effective Amendment”) and (ii) update certain information regarding the securities being offered pursuant to the prospectus contained herein. The information included in this filing amends the Registration Statement and the prospectus contained therein.</w:t>
      </w:r>
    </w:p>
    <w:p>
      <w:pPr>
        <w:spacing w:after="0" w:line="18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No additional securities are being registered under this Post-Effective Amendment. All applicable registration fees were paid at the time of the original filing of the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both"/>
        <w:spacing w:after="0" w:line="268" w:lineRule="auto"/>
        <w:rPr>
          <w:sz w:val="20"/>
          <w:szCs w:val="20"/>
          <w:color w:val="auto"/>
        </w:rPr>
      </w:pPr>
      <w:r>
        <w:rPr>
          <w:rFonts w:ascii="Times New Roman" w:cs="Times New Roman" w:eastAsia="Times New Roman" w:hAnsi="Times New Roman"/>
          <w:sz w:val="18"/>
          <w:szCs w:val="18"/>
          <w:b w:val="1"/>
          <w:bCs w:val="1"/>
          <w:color w:val="FF0000"/>
        </w:rPr>
        <w:t>The information in this preliminary prospectus is not complete and may be changed. These securities may not be issued until the registration statement filed with the U.S. Securities and Exchange Commission is effective. This preliminary prospectus is not an offer to sell these securities and does not constitute the solicitation of an offer to buy these securities in any jurisdiction where the offer or sale is not permitted.</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SUBJECT TO COMPLETION, DATED JUNE 5, 2026</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PRELIMINARY PROSPECTUS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UP TO 625,000 ORDINARY SHARES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GCL GLOBAL HOLDINGS LTD</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This prospectus relates to the resale from time to time of up to 625,000 ordinary shares (the “Shares”) of GCL Global Holdings Ltd, a Cayman Islands exempted company (the “Company,” “PubCo,” or “we”) by Teng Woo Boon, the Managing Director of Ban Leong Technologies Pte. Ltd. (“Teng” or the “Selling Shareholder”), an indirect wholly-owned subsidiary of the Company.</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are not selling any securities under this prospectus and will not receive any proceeds from the sale of the Shares by the Selling Shareholder. The Selling Shareholder may sell the Shares from time to time in public or private transactions, at fixed or negotiated prices. See “Plan of Distribution.”</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will bear all reasonable costs, expenses, and fees in connection with the registration of the Shares.</w:t>
      </w:r>
    </w:p>
    <w:p>
      <w:pPr>
        <w:spacing w:after="0" w:line="22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registration of the securities covered by this prospectus does not mean that the Selling Shareholder will offer or sell, as applicable, any of the securities. The Selling Shareholder may offer, sell or distribute all or part of the securities registered hereby for resale from time to time through public or private transactions at either prevailing market prices or at privately negotiated prices. The securities are being registered to permit the Selling Shareholder to sell the securities from time to time, in amounts, at prices and on terms determined at the time the Selling Shareholder offer and sell the securities covered by this prospectus. The Selling Shareholder may offer and sell the securities covered by this prospectus through ordinary brokerage transactions, directly to market makers of our securities or through any other means described in the section entitled “</w:t>
      </w:r>
      <w:r>
        <w:rPr>
          <w:rFonts w:ascii="Times New Roman" w:cs="Times New Roman" w:eastAsia="Times New Roman" w:hAnsi="Times New Roman"/>
          <w:sz w:val="18"/>
          <w:szCs w:val="18"/>
          <w:i w:val="1"/>
          <w:iCs w:val="1"/>
          <w:color w:val="auto"/>
        </w:rPr>
        <w:t>Plan of Distribution</w:t>
      </w:r>
      <w:r>
        <w:rPr>
          <w:rFonts w:ascii="Times New Roman" w:cs="Times New Roman" w:eastAsia="Times New Roman" w:hAnsi="Times New Roman"/>
          <w:sz w:val="18"/>
          <w:szCs w:val="18"/>
          <w:color w:val="auto"/>
        </w:rPr>
        <w:t>” herein. In connection with any sales of the securities offered hereunder, the Selling Shareholder, any underwriters, agents, brokers or dealers participating in such sales may be deemed to be “underwriters” within the meaning of the Securities Act of 1933, as amended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424815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ind w:left="340"/>
        <w:spacing w:after="0"/>
        <w:rPr>
          <w:sz w:val="20"/>
          <w:szCs w:val="20"/>
          <w:color w:val="auto"/>
        </w:rPr>
      </w:pPr>
      <w:r>
        <w:rPr>
          <w:rFonts w:ascii="Times New Roman" w:cs="Times New Roman" w:eastAsia="Times New Roman" w:hAnsi="Times New Roman"/>
          <w:sz w:val="18"/>
          <w:szCs w:val="18"/>
          <w:color w:val="auto"/>
        </w:rPr>
        <w:t>As of June 4, 2026, the closing price of our Ordinary Shares and Warrants was $0.47 and $0.03, respectively.</w:t>
      </w:r>
    </w:p>
    <w:p>
      <w:pPr>
        <w:spacing w:after="0" w:line="22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total number of Ordinary Shares issued and outstanding as of the date of this prospectus are 130,135,432 Ordinary Shares and 128,008,703 Ordinary Shares, respectively. Each Ordinary Share is entitled to one vote. As of the date of this prospectus, Jacky Choo See Wee, our chairman of the board of directors, is able to exercise voting rights with respect to over 50% of the voting power of our issued and outstanding shares through his beneficial ownership of 80,581,793 Ordinary Shares. We are a “controlled company” as defined under the Corporate Governance Rules of Nasdaq. For so long as we remain a controlled company under this definition, we are permitted to elect to rely, and currently rely, on certain exemptions from corporate governance rules, including the exemption from the rule that a majority of our board of directors must be independent directors. For details, see “Item 3. Key Information—D. Risk Factors—Risks Related to GCL Operating as a Public Company—As a “controlled company” under the Nasdaq rules, GCL may choose to exempt itself from certain corporate governance requirements that could have an adverse effect on our public shareholders” in our most recent annual report on Form 20-F, as amended, incorporated herein by reference.</w:t>
      </w:r>
    </w:p>
    <w:p>
      <w:pPr>
        <w:spacing w:after="0" w:line="18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may amend or supplement this prospectus from time to time by filing amendments or supplements as required. You should read this entire prospectus and any amendments or supplements carefully before you make your investment decision.</w:t>
      </w:r>
    </w:p>
    <w:p>
      <w:pPr>
        <w:spacing w:after="0" w:line="158"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We are an “emerging growth company” as defined in the Jumpstart Our Business Startups Act of 2012 and have elected to comply with certain reduced public company reporting requirements.</w:t>
      </w:r>
    </w:p>
    <w:p>
      <w:pPr>
        <w:spacing w:after="0" w:line="15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are also a “foreign private issuer,” as defined in the Securities and Exchange Act of 1934, as amended (the “Exchange Act”), and will be exempt from certain rules under the Exchange Act that impose certain disclosure obligations and procedural requirements for proxy solicitations under Section 14 of the Exchange Act. In addition, our officers, directors and principal shareholders will be exempt from the “short swing” profit recovery provisions under Section 16 of the Exchange Act. Moreover, we will not be required to file periodic reports and financial statements with the U.S. Securities and Exchange Commission as frequently or as promptly as U.S. companies whose securities are registered under the Exchange Act.</w:t>
      </w:r>
    </w:p>
    <w:p>
      <w:pPr>
        <w:spacing w:after="0" w:line="179"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Investing in our securities is speculative and involves a high degree of risk. You should carefully consider the risks described under “Risk Factors,” in any accompanying prospectus supplement or in the documents incorporated by reference into this prospectus before making a decision to invest in our securities.</w:t>
      </w:r>
    </w:p>
    <w:p>
      <w:pPr>
        <w:spacing w:after="0" w:line="171"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 securities to be issued under this prospectus or determined if this prospectus is truthful or complete. Any representation to the contrary is a criminal offense.</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date of this prospectus is [●],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448310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8"/>
        </w:trPr>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36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000" w:type="dxa"/>
            <w:vAlign w:val="bottom"/>
          </w:tcPr>
          <w:p>
            <w:pPr>
              <w:spacing w:after="0"/>
              <w:rPr>
                <w:sz w:val="20"/>
                <w:szCs w:val="20"/>
                <w:color w:val="auto"/>
              </w:rPr>
            </w:pPr>
          </w:p>
        </w:tc>
      </w:tr>
      <w:tr>
        <w:trPr>
          <w:trHeight w:val="439"/>
        </w:trPr>
        <w:tc>
          <w:tcPr>
            <w:tcW w:w="78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48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720" w:type="dxa"/>
            <w:vAlign w:val="bottom"/>
            <w:tcBorders>
              <w:bottom w:val="single" w:sz="8" w:color="CCEEFF"/>
            </w:tcBorders>
          </w:tcPr>
          <w:p>
            <w:pPr>
              <w:spacing w:after="0"/>
              <w:rPr>
                <w:sz w:val="24"/>
                <w:szCs w:val="24"/>
                <w:color w:val="auto"/>
              </w:rPr>
            </w:pPr>
          </w:p>
        </w:tc>
        <w:tc>
          <w:tcPr>
            <w:tcW w:w="340" w:type="dxa"/>
            <w:vAlign w:val="bottom"/>
            <w:tcBorders>
              <w:bottom w:val="single" w:sz="8" w:color="CCEEFF"/>
            </w:tcBorders>
          </w:tcPr>
          <w:p>
            <w:pPr>
              <w:spacing w:after="0"/>
              <w:rPr>
                <w:sz w:val="24"/>
                <w:szCs w:val="24"/>
                <w:color w:val="auto"/>
              </w:rPr>
            </w:pPr>
          </w:p>
        </w:tc>
        <w:tc>
          <w:tcPr>
            <w:tcW w:w="84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620" w:type="dxa"/>
            <w:vAlign w:val="bottom"/>
            <w:tcBorders>
              <w:bottom w:val="single" w:sz="8" w:color="CCEEFF"/>
            </w:tcBorders>
          </w:tcPr>
          <w:p>
            <w:pPr>
              <w:spacing w:after="0"/>
              <w:rPr>
                <w:sz w:val="24"/>
                <w:szCs w:val="24"/>
                <w:color w:val="auto"/>
              </w:rPr>
            </w:pPr>
          </w:p>
        </w:tc>
        <w:tc>
          <w:tcPr>
            <w:tcW w:w="4440" w:type="dxa"/>
            <w:vAlign w:val="bottom"/>
            <w:tcBorders>
              <w:bottom w:val="single" w:sz="8" w:color="CCEEFF"/>
            </w:tcBorders>
          </w:tcPr>
          <w:p>
            <w:pPr>
              <w:spacing w:after="0"/>
              <w:rPr>
                <w:sz w:val="24"/>
                <w:szCs w:val="24"/>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196"/>
        </w:trPr>
        <w:tc>
          <w:tcPr>
            <w:tcW w:w="2240" w:type="dxa"/>
            <w:vAlign w:val="bottom"/>
            <w:tcBorders>
              <w:bottom w:val="single" w:sz="8" w:color="0000EE"/>
            </w:tcBorders>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ABOUT THIS PROSPECTUS</w:t>
            </w:r>
          </w:p>
        </w:tc>
        <w:tc>
          <w:tcPr>
            <w:tcW w:w="8000" w:type="dxa"/>
            <w:vAlign w:val="bottom"/>
            <w:tcBorders>
              <w:bottom w:val="single" w:sz="8" w:color="CCEEFF"/>
            </w:tcBorders>
            <w:gridSpan w:val="11"/>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ii</w:t>
            </w:r>
          </w:p>
        </w:tc>
      </w:tr>
      <w:tr>
        <w:trPr>
          <w:trHeight w:val="176"/>
        </w:trPr>
        <w:tc>
          <w:tcPr>
            <w:tcW w:w="10240" w:type="dxa"/>
            <w:vAlign w:val="bottom"/>
            <w:gridSpan w:val="19"/>
          </w:tcPr>
          <w:p>
            <w:pPr>
              <w:spacing w:after="0" w:line="176" w:lineRule="exact"/>
              <w:rPr>
                <w:sz w:val="20"/>
                <w:szCs w:val="20"/>
                <w:color w:val="auto"/>
              </w:rPr>
            </w:pPr>
            <w:r>
              <w:rPr>
                <w:rFonts w:ascii="Times New Roman" w:cs="Times New Roman" w:eastAsia="Times New Roman" w:hAnsi="Times New Roman"/>
                <w:sz w:val="18"/>
                <w:szCs w:val="18"/>
                <w:color w:val="0000EE"/>
              </w:rPr>
              <w:t>INDUSTRY AND MARKET DATA</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iii</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76"/>
        </w:trPr>
        <w:tc>
          <w:tcPr>
            <w:tcW w:w="1024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FREQUENTLY USED TERMS</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iv</w:t>
            </w:r>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444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240" w:type="dxa"/>
            <w:vAlign w:val="bottom"/>
            <w:gridSpan w:val="19"/>
          </w:tcPr>
          <w:p>
            <w:pPr>
              <w:spacing w:after="0" w:line="176" w:lineRule="exact"/>
              <w:rPr>
                <w:sz w:val="20"/>
                <w:szCs w:val="20"/>
                <w:color w:val="auto"/>
              </w:rPr>
            </w:pPr>
            <w:r>
              <w:rPr>
                <w:rFonts w:ascii="Times New Roman" w:cs="Times New Roman" w:eastAsia="Times New Roman" w:hAnsi="Times New Roman"/>
                <w:sz w:val="18"/>
                <w:szCs w:val="18"/>
                <w:color w:val="0000EE"/>
              </w:rPr>
              <w:t>CAUTIONARY NOTE REGARDING FORWARD-LOOKING STATEMENTS</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v</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024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SUMMARY OF THE PROSPECTUS</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175"/>
        </w:trPr>
        <w:tc>
          <w:tcPr>
            <w:tcW w:w="2760" w:type="dxa"/>
            <w:vAlign w:val="bottom"/>
            <w:tcBorders>
              <w:top w:val="single" w:sz="8" w:color="0000EE"/>
            </w:tcBorders>
            <w:gridSpan w:val="12"/>
          </w:tcPr>
          <w:p>
            <w:pPr>
              <w:spacing w:after="0" w:line="176" w:lineRule="exact"/>
              <w:rPr>
                <w:sz w:val="20"/>
                <w:szCs w:val="20"/>
                <w:color w:val="auto"/>
              </w:rPr>
            </w:pPr>
            <w:r>
              <w:rPr>
                <w:rFonts w:ascii="Times New Roman" w:cs="Times New Roman" w:eastAsia="Times New Roman" w:hAnsi="Times New Roman"/>
                <w:sz w:val="18"/>
                <w:szCs w:val="18"/>
                <w:color w:val="0000EE"/>
              </w:rPr>
              <w:t>THE OFFERING</w:t>
            </w:r>
          </w:p>
        </w:tc>
        <w:tc>
          <w:tcPr>
            <w:tcW w:w="7480" w:type="dxa"/>
            <w:vAlign w:val="bottom"/>
            <w:tcBorders>
              <w:top w:val="single" w:sz="8" w:color="CCEEFF"/>
            </w:tcBorders>
            <w:gridSpan w:val="7"/>
          </w:tcPr>
          <w:p>
            <w:pPr>
              <w:spacing w:after="0"/>
              <w:rPr>
                <w:sz w:val="15"/>
                <w:szCs w:val="15"/>
                <w:color w:val="auto"/>
              </w:rPr>
            </w:pPr>
          </w:p>
        </w:tc>
        <w:tc>
          <w:tcPr>
            <w:tcW w:w="10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4</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260" w:type="dxa"/>
            <w:vAlign w:val="bottom"/>
            <w:tcBorders>
              <w:bottom w:val="single" w:sz="8" w:color="0000EE"/>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RISK FACTORS</w:t>
            </w:r>
          </w:p>
        </w:tc>
        <w:tc>
          <w:tcPr>
            <w:tcW w:w="8980" w:type="dxa"/>
            <w:vAlign w:val="bottom"/>
            <w:tcBorders>
              <w:bottom w:val="single" w:sz="8" w:color="CCEEFF"/>
            </w:tcBorders>
            <w:gridSpan w:val="16"/>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5</w:t>
            </w:r>
          </w:p>
        </w:tc>
      </w:tr>
      <w:tr>
        <w:trPr>
          <w:trHeight w:val="176"/>
        </w:trPr>
        <w:tc>
          <w:tcPr>
            <w:tcW w:w="10240" w:type="dxa"/>
            <w:vAlign w:val="bottom"/>
            <w:gridSpan w:val="19"/>
          </w:tcPr>
          <w:p>
            <w:pPr>
              <w:spacing w:after="0" w:line="176" w:lineRule="exact"/>
              <w:rPr>
                <w:sz w:val="20"/>
                <w:szCs w:val="20"/>
                <w:color w:val="auto"/>
              </w:rPr>
            </w:pPr>
            <w:r>
              <w:rPr>
                <w:rFonts w:ascii="Times New Roman" w:cs="Times New Roman" w:eastAsia="Times New Roman" w:hAnsi="Times New Roman"/>
                <w:sz w:val="18"/>
                <w:szCs w:val="18"/>
                <w:color w:val="0000EE"/>
              </w:rPr>
              <w:t>USE OF PROCEEDS</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6</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4880" w:type="dxa"/>
            <w:vAlign w:val="bottom"/>
            <w:tcBorders>
              <w:bottom w:val="single" w:sz="8" w:color="0000EE"/>
            </w:tcBorders>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MATERIAL U.S. FEDERAL INCOME TAX CONSIDERATIONS</w:t>
            </w:r>
          </w:p>
        </w:tc>
        <w:tc>
          <w:tcPr>
            <w:tcW w:w="5360" w:type="dxa"/>
            <w:vAlign w:val="bottom"/>
            <w:tcBorders>
              <w:bottom w:val="single" w:sz="8" w:color="CCEEFF"/>
            </w:tcBorders>
            <w:gridSpan w:val="3"/>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7</w:t>
            </w:r>
          </w:p>
        </w:tc>
      </w:tr>
      <w:tr>
        <w:trPr>
          <w:trHeight w:val="175"/>
        </w:trPr>
        <w:tc>
          <w:tcPr>
            <w:tcW w:w="10240" w:type="dxa"/>
            <w:vAlign w:val="bottom"/>
            <w:gridSpan w:val="19"/>
          </w:tcPr>
          <w:p>
            <w:pPr>
              <w:spacing w:after="0" w:line="176" w:lineRule="exact"/>
              <w:rPr>
                <w:sz w:val="20"/>
                <w:szCs w:val="20"/>
                <w:color w:val="auto"/>
              </w:rPr>
            </w:pPr>
            <w:r>
              <w:rPr>
                <w:rFonts w:ascii="Times New Roman" w:cs="Times New Roman" w:eastAsia="Times New Roman" w:hAnsi="Times New Roman"/>
                <w:sz w:val="18"/>
                <w:szCs w:val="18"/>
                <w:color w:val="0000EE"/>
              </w:rPr>
              <w:t>DESCRIPTION OF SECURITIES</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12</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2520" w:type="dxa"/>
            <w:vAlign w:val="bottom"/>
            <w:tcBorders>
              <w:bottom w:val="single" w:sz="8" w:color="0000EE"/>
            </w:tcBorders>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SELLING SECURITYHOLDERS</w:t>
            </w:r>
          </w:p>
        </w:tc>
        <w:tc>
          <w:tcPr>
            <w:tcW w:w="7720" w:type="dxa"/>
            <w:vAlign w:val="bottom"/>
            <w:tcBorders>
              <w:bottom w:val="single" w:sz="8" w:color="CCEEFF"/>
            </w:tcBorders>
            <w:gridSpan w:val="9"/>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18</w:t>
            </w:r>
          </w:p>
        </w:tc>
      </w:tr>
      <w:tr>
        <w:trPr>
          <w:trHeight w:val="175"/>
        </w:trPr>
        <w:tc>
          <w:tcPr>
            <w:tcW w:w="10240" w:type="dxa"/>
            <w:vAlign w:val="bottom"/>
            <w:gridSpan w:val="19"/>
          </w:tcPr>
          <w:p>
            <w:pPr>
              <w:spacing w:after="0" w:line="176" w:lineRule="exact"/>
              <w:rPr>
                <w:sz w:val="20"/>
                <w:szCs w:val="20"/>
                <w:color w:val="auto"/>
              </w:rPr>
            </w:pPr>
            <w:r>
              <w:rPr>
                <w:rFonts w:ascii="Times New Roman" w:cs="Times New Roman" w:eastAsia="Times New Roman" w:hAnsi="Times New Roman"/>
                <w:sz w:val="18"/>
                <w:szCs w:val="18"/>
                <w:color w:val="0000EE"/>
              </w:rPr>
              <w:t>PLAN OF DISTRIBUTION</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19</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3480" w:type="dxa"/>
            <w:vAlign w:val="bottom"/>
            <w:tcBorders>
              <w:bottom w:val="single" w:sz="8" w:color="0000EE"/>
            </w:tcBorders>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EXPENSES RELATING TO THIS OFFERING</w:t>
            </w:r>
          </w:p>
        </w:tc>
        <w:tc>
          <w:tcPr>
            <w:tcW w:w="6760" w:type="dxa"/>
            <w:vAlign w:val="bottom"/>
            <w:tcBorders>
              <w:bottom w:val="single" w:sz="8" w:color="CCEEFF"/>
            </w:tcBorders>
            <w:gridSpan w:val="6"/>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21</w:t>
            </w:r>
          </w:p>
        </w:tc>
      </w:tr>
      <w:tr>
        <w:trPr>
          <w:trHeight w:val="176"/>
        </w:trPr>
        <w:tc>
          <w:tcPr>
            <w:tcW w:w="10240" w:type="dxa"/>
            <w:vAlign w:val="bottom"/>
            <w:gridSpan w:val="19"/>
          </w:tcPr>
          <w:p>
            <w:pPr>
              <w:spacing w:after="0" w:line="176" w:lineRule="exact"/>
              <w:rPr>
                <w:sz w:val="20"/>
                <w:szCs w:val="20"/>
                <w:color w:val="auto"/>
              </w:rPr>
            </w:pPr>
            <w:r>
              <w:rPr>
                <w:rFonts w:ascii="Times New Roman" w:cs="Times New Roman" w:eastAsia="Times New Roman" w:hAnsi="Times New Roman"/>
                <w:sz w:val="18"/>
                <w:szCs w:val="18"/>
                <w:color w:val="0000EE"/>
              </w:rPr>
              <w:t>LEGAL MATTERS</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22</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780" w:type="dxa"/>
            <w:vAlign w:val="bottom"/>
            <w:tcBorders>
              <w:bottom w:val="single" w:sz="8" w:color="0000EE"/>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EXPERTS</w:t>
            </w:r>
          </w:p>
        </w:tc>
        <w:tc>
          <w:tcPr>
            <w:tcW w:w="9460" w:type="dxa"/>
            <w:vAlign w:val="bottom"/>
            <w:tcBorders>
              <w:bottom w:val="single" w:sz="8" w:color="CCEEFF"/>
            </w:tcBorders>
            <w:gridSpan w:val="18"/>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22</w:t>
            </w:r>
          </w:p>
        </w:tc>
      </w:tr>
      <w:tr>
        <w:trPr>
          <w:trHeight w:val="175"/>
        </w:trPr>
        <w:tc>
          <w:tcPr>
            <w:tcW w:w="10240" w:type="dxa"/>
            <w:vAlign w:val="bottom"/>
            <w:gridSpan w:val="19"/>
          </w:tcPr>
          <w:p>
            <w:pPr>
              <w:spacing w:after="0" w:line="17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22</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024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INCORPORATION OF CERTAIN INFORMATION BY REFERENCE</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23</w:t>
            </w:r>
          </w:p>
        </w:tc>
      </w:tr>
      <w:tr>
        <w:trPr>
          <w:trHeight w:val="176"/>
        </w:trPr>
        <w:tc>
          <w:tcPr>
            <w:tcW w:w="5180" w:type="dxa"/>
            <w:vAlign w:val="bottom"/>
            <w:tcBorders>
              <w:top w:val="single" w:sz="8" w:color="0000EE"/>
            </w:tcBorders>
            <w:gridSpan w:val="17"/>
          </w:tcPr>
          <w:p>
            <w:pPr>
              <w:spacing w:after="0" w:line="176" w:lineRule="exact"/>
              <w:rPr>
                <w:sz w:val="20"/>
                <w:szCs w:val="20"/>
                <w:color w:val="auto"/>
              </w:rPr>
            </w:pPr>
            <w:r>
              <w:rPr>
                <w:rFonts w:ascii="Times New Roman" w:cs="Times New Roman" w:eastAsia="Times New Roman" w:hAnsi="Times New Roman"/>
                <w:sz w:val="18"/>
                <w:szCs w:val="18"/>
                <w:color w:val="0000EE"/>
              </w:rPr>
              <w:t>PART II INFORMATION NOT REQUIRED IN PROSPECTUS</w:t>
            </w:r>
          </w:p>
        </w:tc>
        <w:tc>
          <w:tcPr>
            <w:tcW w:w="5060" w:type="dxa"/>
            <w:vAlign w:val="bottom"/>
            <w:tcBorders>
              <w:top w:val="single" w:sz="8" w:color="CCEEFF"/>
            </w:tcBorders>
            <w:gridSpan w:val="2"/>
          </w:tcPr>
          <w:p>
            <w:pPr>
              <w:spacing w:after="0"/>
              <w:rPr>
                <w:sz w:val="15"/>
                <w:szCs w:val="15"/>
                <w:color w:val="auto"/>
              </w:rPr>
            </w:pPr>
          </w:p>
        </w:tc>
        <w:tc>
          <w:tcPr>
            <w:tcW w:w="10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rPr>
              <w:t>II-1</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76"/>
        </w:trPr>
        <w:tc>
          <w:tcPr>
            <w:tcW w:w="1024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SIGNATURES</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II-5</w:t>
            </w:r>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444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4"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b w:val="1"/>
          <w:bCs w:val="1"/>
          <w:color w:val="auto"/>
        </w:rPr>
        <w:t>You should rely only on the information contained in this prospectus or any amendment or supplement. Neither we nor the Selling Shareholder have authorized anyone else to provide you with different information. The securities offered by this prospectus are being offered only in jurisdictions where the offer is permitted. You should not assume that the information in this prospectus or any amendment or supplement is accurate as of any date other than the date on the front of each document. Our business, financial condition, results of operations and prospects may have changed since that date.</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Except as otherwise set forth in this prospectus, neither we nor the Selling Shareholder have taken any action to permit a public offering of these securities outside the United States or to permit the possession or distribution of this prospectus outside the United States. Persons outside the United States who come into possession of this prospectus must inform themselves about and observe any restrictions relating to the offering of these securities and the distribution of this prospectus outside the United States.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This prospectus is part of a registration statement filed with the SEC by GCL Global Holdings Ltd. using the “shelf” registration process. Under this shelf registration process, the Selling Shareholder named in this prospectus may, from time to time, sell the securities described in this prospectus in one or more offerings. This prospectus includes important information about us, the securities being offered by the Selling Shareholder and other information you should know before investing. We may provide a prospectus supplement or post-effective amendment to the registration statement to add information to, or update or change information contained in, this prospectus. If there is any inconsistency between the information contained in this prospectus and any prospectus supplement or post-effective amendment, you should rely on the information contained in that particular prospectus supplement or post-effective amendment. You should read this prospectus together with the additional information about us described in the section below entitled “</w:t>
      </w:r>
      <w:r>
        <w:rPr>
          <w:rFonts w:ascii="Times New Roman" w:cs="Times New Roman" w:eastAsia="Times New Roman" w:hAnsi="Times New Roman"/>
          <w:sz w:val="18"/>
          <w:szCs w:val="18"/>
          <w:i w:val="1"/>
          <w:iCs w:val="1"/>
          <w:color w:val="auto"/>
        </w:rPr>
        <w:t>Where You</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Can Find More Information</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Incorporation of Certain Documents by Reference</w:t>
      </w:r>
      <w:r>
        <w:rPr>
          <w:rFonts w:ascii="Times New Roman" w:cs="Times New Roman" w:eastAsia="Times New Roman" w:hAnsi="Times New Roman"/>
          <w:sz w:val="18"/>
          <w:szCs w:val="18"/>
          <w:color w:val="auto"/>
        </w:rPr>
        <w:t>.” You should rely only on information contained in this prospectus,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prospectus supplement and any related free writing prospectus. We have not, and the Selling Shareholder has not, authorized anyone to provide you with information different from that contained in this prospectus, any prospectus supplement and any related free writing prospectus. The information contained in this prospectus is accurate only as of the date on the front cover of the prospectus. You should not assume that the information contained in this prospectus is accurate as of any other date.</w:t>
      </w:r>
    </w:p>
    <w:p>
      <w:pPr>
        <w:spacing w:after="0" w:line="19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Selling Shareholder may offer and sell the securities directly to purchasers, through agents selected by the Selling Shareholder, or to or through underwriters or dealers. A prospectus supplement, if required, may describe the terms of the plan of distribution and set forth the names of any agents, underwriters or dealers involved in the sale of securities. See “</w:t>
      </w:r>
      <w:r>
        <w:rPr>
          <w:rFonts w:ascii="Times New Roman" w:cs="Times New Roman" w:eastAsia="Times New Roman" w:hAnsi="Times New Roman"/>
          <w:sz w:val="18"/>
          <w:szCs w:val="18"/>
          <w:i w:val="1"/>
          <w:iCs w:val="1"/>
          <w:color w:val="auto"/>
        </w:rPr>
        <w:t>Plan of Distribution</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For investors outside the United States: Neither we nor the Selling Shareholder have taken any action to permit the possession or distribution of this prospectus in any jurisdiction other than the United States where action for that purpose is required. Persons outside the United States who come into possession of this prospectus must inform themselves about and observe any restrictions relating to the Ordinary Shares and Warrants and the distribution of this prospectus outside the United States.</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Discrepancies in any table between totals and sums of the amounts listed are due to rounding. Certain amounts and percentages have been rounded; consequently, certain figures may add up to be more or less than the total amount and certain percentages may add up to be more or less than 100% due to rounding. In particular and without limitation, amounts expressed in millions contained in this prospectus have been rounded to a single decimal place for the convenience of readers.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INDUSTRY AND MARKET DATA</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This prospectus contains estimates and other information concerning our industry, including market size and growth of the market in which we participate, that are derived from various public sources. This information involves a number of assumptions and limitations, and you are cautioned not to give undue weight to these estimates.</w:t>
      </w:r>
    </w:p>
    <w:p>
      <w:pPr>
        <w:spacing w:after="0" w:line="17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Industry publications, research, studies and forecasts generally state that the information they contain has been obtained from sources believed to be reliable, but that the accuracy and completeness of such information is not guaranteed. In some cases, we do not expressly refer to the sources from which these estimates and information are derived. While we have compiled, extracted, and reproduced industry data from these sources, we have not independently verified the data. Forecasts and other forward-looking information obtained from these sources are subject to the same qualifications and uncertainties as the other forward-looking statements in this prospectus. These forecasts and forward-looking information are subject to uncertainty and risk due to a variety of factors, including those described under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Cautionary Note Regarding Forward-Looking Statements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Risk</w:t>
      </w:r>
      <w:r>
        <w:rPr>
          <w:rFonts w:ascii="Times New Roman" w:cs="Times New Roman" w:eastAsia="Times New Roman" w:hAnsi="Times New Roman"/>
          <w:sz w:val="18"/>
          <w:szCs w:val="18"/>
          <w:color w:val="auto"/>
        </w:rPr>
        <w:t xml:space="preserve"> Factors” in our then most recent annual report on Form 20-F, and any updates to those risk factors in our reports on Form 6-K incorporated by reference in this prospectus, together with all of the other information appearing or incorporated by reference in this prospectus. These and other factors could cause results to differ materially from those expressed in any forecasts or estimates.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FREQUENTLY USED TERMS</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this prospectus, unless the context otherwise requires, the “GCL,” “GCL Group,” “Company” and references to “we,” “us,” or similar such references should be understood to be references to GCL Global Holdings Ltd and its subsidiaries and consolidated affiliated entities (“Group Subsidiaries,” each a “Group Subsidiary”).</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this prospectus, unless otherwise stated, references to:</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“USD,” “US$” and “U.S. dollar” each refers to the United States dollar.</w:t>
      </w:r>
    </w:p>
    <w:p>
      <w:pPr>
        <w:spacing w:after="0" w:line="158"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“Amended and Restated Memorandum and Articles of Association” means the Company’s current amended and restated memorandum and articles of association, adopted on February 13, 2025.</w:t>
      </w:r>
    </w:p>
    <w:p>
      <w:pPr>
        <w:spacing w:after="0" w:line="9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“Ancillary Agreements” means certain additional agreements entered into or to be entered into pursuant to or in connection with the Merger Agreement.</w:t>
      </w:r>
    </w:p>
    <w:p>
      <w:pPr>
        <w:spacing w:after="0" w:line="9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“April 2026 Warrant” means the three-year warrant the Company issued to an institutional investor on April 28, 2026 for 1,125,000 shares at an initial exercise price of $8.00 per share, subject to full-ratchet anti-dilution adjustments and other price protections, in exchange for a portion of the then-outstanding convertible notes issued pursuant to an Amendment, Waiver and Exchange Agreement dated April 28, 2026.</w:t>
      </w:r>
    </w:p>
    <w:p>
      <w:pPr>
        <w:spacing w:after="0" w:line="10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“Ban Leong” means Ban Leong Technologies Pte. Ltd. (formerly known as “Ban Leong Technologies Limited” prior to its delisting from the Singapore Stock Exchange on August 26, 2025), a Singapore company.</w:t>
      </w:r>
    </w:p>
    <w:p>
      <w:pPr>
        <w:spacing w:after="0" w:line="9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“Business Combination,” “Transactions,” or “Merger” means, collectively, the transactions contemplated by the Merger Agreement and the Ancillary Agreements.</w:t>
      </w:r>
    </w:p>
    <w:p>
      <w:pPr>
        <w:spacing w:after="0" w:line="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“Closing” means the closing of the Transactions.</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“Closing Date” means February 13, 2025.</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“Code” means the Internal Revenue Code of 1986, as amended.</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“Companies Act” means the Companies Act (As Revised) of the Cayman Islands as the same may be amended from time to time.</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“Exchange Act” means the Securities Exchange Act of 1934, as amended.</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“GCL BVI” means Grand Centrex Limited, a British Virgin Islands business company.</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“GCL Global” means GCL Global Limited, a Cayman Islands exempted company limited by shares.</w:t>
      </w:r>
    </w:p>
    <w:p>
      <w:pPr>
        <w:spacing w:after="0" w:line="15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“Merger Agreement” means the Merger Agreement, dated as of October 18, 2023 (as amended on December 1, 2023, December 15, 2023, January 31, 2024, and September 30, 2024) by and among (i) the Company, (ii) RF Acquisition Corp., a Delaware corporation (“RFAC”), (iii) Grand Centrex Limited, a British Virgin Islands business company (“GCL BVI”), (iv) GCL Global Limited, a Cayman Islands exempted company limited by shares (“GCL Global”), and, (v) for the limited purposes set forth therein, RF Dynamic LLC, a Delaware limited liability company (the “Sponsor”).</w:t>
      </w:r>
    </w:p>
    <w:p>
      <w:pPr>
        <w:spacing w:after="0" w:line="11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“Nasdaq” means The Nasdaq Stock Market LLC.</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“Ordinary Shares” means, collectively, the ordinary shares of the Company, each with par value $0.0001 per share.</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“RFAC” means RF Acquisition Corp., a Delaware corporation.</w:t>
      </w:r>
    </w:p>
    <w:p>
      <w:pPr>
        <w:spacing w:after="0" w:line="15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“Registration Rights Agreement” means the registration rights agreement, dated May 21, 2025, by and among the Company and the buyer named therein.</w:t>
      </w:r>
    </w:p>
    <w:p>
      <w:pPr>
        <w:spacing w:after="0" w:line="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“Sarbanes-Oxley Act” means the Sarbanes-Oxley Act of 2002, as may be amended.</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 and “SGD” refer to Singapore dollars.</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“SEC” means the U.S. Securities and Exchange Commission.</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“Sponsor” means RF Dynamic LLC, a Delaware limited liability company.</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“U.S.” means the United States of America.</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“U.S. GAAP” or “GAAP” means generally accepted accounting principles in the United States of America.</w:t>
      </w:r>
    </w:p>
    <w:p>
      <w:pPr>
        <w:spacing w:after="0" w:line="15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“Warrants” or “PubCo Warrants” means warrants of the Company (including Public Warrants and Private Placement Warrants), each exercisable for one Ordinary Share at an exercise price of $11.50 per share, subject to adjustment.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3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This prospectus contains “forward-looking statements” within the meaning of Section 27A of the Securities Act and Section 21E of the Exchange Act that involve substantial risks and uncertainties. All statements other than statements of historical facts contained in this prospectus, including statements regarding our future financial position, business strategy and plans and objectives of management for future operations, are forward-looking statements. In some cases, you can identify forward-looking statements by terminology such as “may,” “will,” “should,” “expect,” “plan,” “anticipate,” “could,” “intend,” “target,” “project,” “contemplate,” “believe,” “estimate,” “predict,” “potential” or “continue” or the negative of these terms or other similar expressions. Forward-looking statements include, without limitation, our expectations concerning the outlook for our business, productivity, plans and goals for future operational improvements and capital investments, operational performance, future market conditions or economic performance and developments in the capital and credit markets and expected future financial performance, as well as any information concerning our possible or assumed future results of operations as set forth in this prospectus. Forward-looking statements also include statements regarding the expected benefits of the Business Combination.</w:t>
      </w:r>
    </w:p>
    <w:p>
      <w:pPr>
        <w:spacing w:after="0" w:line="94"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Forward-looking statements involve a number of risks, uncertainties and assumptions, and actual results or events may differ materially from those projected or implied in those statements. Important factors that could cause such differences include, but are not limited to:</w:t>
      </w:r>
    </w:p>
    <w:p>
      <w:pPr>
        <w:spacing w:after="0" w:line="94" w:lineRule="exact"/>
        <w:rPr>
          <w:sz w:val="20"/>
          <w:szCs w:val="20"/>
          <w:color w:val="auto"/>
        </w:rPr>
      </w:pPr>
    </w:p>
    <w:p>
      <w:pPr>
        <w:ind w:left="740" w:hanging="354"/>
        <w:spacing w:after="0"/>
        <w:tabs>
          <w:tab w:leader="none" w:pos="7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benefits from the acquisition of Ban Leong;</w:t>
      </w:r>
    </w:p>
    <w:p>
      <w:pPr>
        <w:spacing w:after="0" w:line="198" w:lineRule="exact"/>
        <w:rPr>
          <w:rFonts w:ascii="Times New Roman" w:cs="Times New Roman" w:eastAsia="Times New Roman" w:hAnsi="Times New Roman"/>
          <w:sz w:val="18"/>
          <w:szCs w:val="18"/>
          <w:color w:val="auto"/>
        </w:rPr>
      </w:pPr>
    </w:p>
    <w:p>
      <w:pPr>
        <w:ind w:left="740" w:hanging="354"/>
        <w:spacing w:after="0"/>
        <w:tabs>
          <w:tab w:leader="none" w:pos="7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successfully integrate Ban Leong into GCL Group and achieve economies of scale and operational efficiencies;</w:t>
      </w:r>
    </w:p>
    <w:p>
      <w:pPr>
        <w:spacing w:after="0" w:line="198" w:lineRule="exact"/>
        <w:rPr>
          <w:rFonts w:ascii="Times New Roman" w:cs="Times New Roman" w:eastAsia="Times New Roman" w:hAnsi="Times New Roman"/>
          <w:sz w:val="18"/>
          <w:szCs w:val="18"/>
          <w:color w:val="auto"/>
        </w:rPr>
      </w:pPr>
    </w:p>
    <w:p>
      <w:pPr>
        <w:jc w:val="both"/>
        <w:ind w:left="740" w:right="20" w:hanging="354"/>
        <w:spacing w:after="0" w:line="261" w:lineRule="auto"/>
        <w:tabs>
          <w:tab w:leader="none" w:pos="7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regarding our strategies and future financial performance, including our future business plans or objectives, prospective performance and opportunities and competitors, revenues, customer acquisition and retention, products and services, pricing, marketing plans, operating expenses, market trends and acceptance, liquidity, cash flows and uses of cash, capital expenditures, and our ability to invest in growth initiatives and pursue acquisition opportunities;</w:t>
      </w:r>
    </w:p>
    <w:p>
      <w:pPr>
        <w:spacing w:after="0" w:line="152" w:lineRule="exact"/>
        <w:rPr>
          <w:rFonts w:ascii="Times New Roman" w:cs="Times New Roman" w:eastAsia="Times New Roman" w:hAnsi="Times New Roman"/>
          <w:sz w:val="18"/>
          <w:szCs w:val="18"/>
          <w:color w:val="auto"/>
        </w:rPr>
      </w:pPr>
    </w:p>
    <w:p>
      <w:pPr>
        <w:ind w:left="740" w:hanging="354"/>
        <w:spacing w:after="0"/>
        <w:tabs>
          <w:tab w:leader="none" w:pos="7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execute our growth strategy and diversify revenue streams;</w:t>
      </w:r>
    </w:p>
    <w:p>
      <w:pPr>
        <w:spacing w:after="0" w:line="198" w:lineRule="exact"/>
        <w:rPr>
          <w:rFonts w:ascii="Times New Roman" w:cs="Times New Roman" w:eastAsia="Times New Roman" w:hAnsi="Times New Roman"/>
          <w:sz w:val="18"/>
          <w:szCs w:val="18"/>
          <w:color w:val="auto"/>
        </w:rPr>
      </w:pPr>
    </w:p>
    <w:p>
      <w:pPr>
        <w:ind w:left="740" w:hanging="354"/>
        <w:spacing w:after="0"/>
        <w:tabs>
          <w:tab w:leader="none" w:pos="7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expand our operations and geographic reach;</w:t>
      </w:r>
    </w:p>
    <w:p>
      <w:pPr>
        <w:spacing w:after="0" w:line="198" w:lineRule="exact"/>
        <w:rPr>
          <w:rFonts w:ascii="Times New Roman" w:cs="Times New Roman" w:eastAsia="Times New Roman" w:hAnsi="Times New Roman"/>
          <w:sz w:val="18"/>
          <w:szCs w:val="18"/>
          <w:color w:val="auto"/>
        </w:rPr>
      </w:pPr>
    </w:p>
    <w:p>
      <w:pPr>
        <w:ind w:left="740" w:hanging="354"/>
        <w:spacing w:after="0"/>
        <w:tabs>
          <w:tab w:leader="none" w:pos="7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execute our growth strategy, manage growth and maintain our corporate culture as we grow;</w:t>
      </w:r>
    </w:p>
    <w:p>
      <w:pPr>
        <w:spacing w:after="0" w:line="198" w:lineRule="exact"/>
        <w:rPr>
          <w:rFonts w:ascii="Times New Roman" w:cs="Times New Roman" w:eastAsia="Times New Roman" w:hAnsi="Times New Roman"/>
          <w:sz w:val="18"/>
          <w:szCs w:val="18"/>
          <w:color w:val="auto"/>
        </w:rPr>
      </w:pPr>
    </w:p>
    <w:p>
      <w:pPr>
        <w:ind w:left="740" w:hanging="354"/>
        <w:spacing w:after="0"/>
        <w:tabs>
          <w:tab w:leader="none" w:pos="7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regulatory environment and changes in laws, regulations or policies in the jurisdictions in which we operate;</w:t>
      </w:r>
    </w:p>
    <w:p>
      <w:pPr>
        <w:spacing w:after="0" w:line="198" w:lineRule="exact"/>
        <w:rPr>
          <w:rFonts w:ascii="Times New Roman" w:cs="Times New Roman" w:eastAsia="Times New Roman" w:hAnsi="Times New Roman"/>
          <w:sz w:val="18"/>
          <w:szCs w:val="18"/>
          <w:color w:val="auto"/>
        </w:rPr>
      </w:pPr>
    </w:p>
    <w:p>
      <w:pPr>
        <w:ind w:left="740" w:hanging="354"/>
        <w:spacing w:after="0"/>
        <w:tabs>
          <w:tab w:leader="none" w:pos="7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instability in the jurisdictions in which we operate;</w:t>
      </w:r>
    </w:p>
    <w:p>
      <w:pPr>
        <w:spacing w:after="0" w:line="198" w:lineRule="exact"/>
        <w:rPr>
          <w:rFonts w:ascii="Times New Roman" w:cs="Times New Roman" w:eastAsia="Times New Roman" w:hAnsi="Times New Roman"/>
          <w:sz w:val="18"/>
          <w:szCs w:val="18"/>
          <w:color w:val="auto"/>
        </w:rPr>
      </w:pPr>
    </w:p>
    <w:p>
      <w:pPr>
        <w:ind w:left="740" w:hanging="354"/>
        <w:spacing w:after="0"/>
        <w:tabs>
          <w:tab w:leader="none" w:pos="7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and interest rate fluctuations;</w:t>
      </w:r>
    </w:p>
    <w:p>
      <w:pPr>
        <w:spacing w:after="0" w:line="198" w:lineRule="exact"/>
        <w:rPr>
          <w:rFonts w:ascii="Times New Roman" w:cs="Times New Roman" w:eastAsia="Times New Roman" w:hAnsi="Times New Roman"/>
          <w:sz w:val="18"/>
          <w:szCs w:val="18"/>
          <w:color w:val="auto"/>
        </w:rPr>
      </w:pPr>
    </w:p>
    <w:p>
      <w:pPr>
        <w:ind w:left="740" w:hanging="354"/>
        <w:spacing w:after="0"/>
        <w:tabs>
          <w:tab w:leader="none" w:pos="7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anticipated technology trends and developments and our ability to address those trends and developments with our offerings;</w:t>
      </w:r>
    </w:p>
    <w:p>
      <w:pPr>
        <w:spacing w:after="0" w:line="198" w:lineRule="exact"/>
        <w:rPr>
          <w:rFonts w:ascii="Times New Roman" w:cs="Times New Roman" w:eastAsia="Times New Roman" w:hAnsi="Times New Roman"/>
          <w:sz w:val="18"/>
          <w:szCs w:val="18"/>
          <w:color w:val="auto"/>
        </w:rPr>
      </w:pPr>
    </w:p>
    <w:p>
      <w:pPr>
        <w:ind w:left="740" w:hanging="354"/>
        <w:spacing w:after="0"/>
        <w:tabs>
          <w:tab w:leader="none" w:pos="7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key personnel and the inability to replace such personnel on a timely basis or on acceptable terms;</w:t>
      </w:r>
    </w:p>
    <w:p>
      <w:pPr>
        <w:spacing w:after="0" w:line="198" w:lineRule="exact"/>
        <w:rPr>
          <w:rFonts w:ascii="Times New Roman" w:cs="Times New Roman" w:eastAsia="Times New Roman" w:hAnsi="Times New Roman"/>
          <w:sz w:val="18"/>
          <w:szCs w:val="18"/>
          <w:color w:val="auto"/>
        </w:rPr>
      </w:pPr>
    </w:p>
    <w:p>
      <w:pPr>
        <w:ind w:left="740" w:hanging="354"/>
        <w:spacing w:after="0"/>
        <w:tabs>
          <w:tab w:leader="none" w:pos="7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of our capital needs and our ability to raise financing;</w:t>
      </w:r>
    </w:p>
    <w:p>
      <w:pPr>
        <w:spacing w:after="0" w:line="198" w:lineRule="exact"/>
        <w:rPr>
          <w:rFonts w:ascii="Times New Roman" w:cs="Times New Roman" w:eastAsia="Times New Roman" w:hAnsi="Times New Roman"/>
          <w:sz w:val="18"/>
          <w:szCs w:val="18"/>
          <w:color w:val="auto"/>
        </w:rPr>
      </w:pPr>
    </w:p>
    <w:p>
      <w:pPr>
        <w:ind w:left="740" w:hanging="354"/>
        <w:spacing w:after="0"/>
        <w:tabs>
          <w:tab w:leader="none" w:pos="7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maintain the listing of our securities on Nasdaq;</w:t>
      </w:r>
    </w:p>
    <w:p>
      <w:pPr>
        <w:spacing w:after="0" w:line="198" w:lineRule="exact"/>
        <w:rPr>
          <w:rFonts w:ascii="Times New Roman" w:cs="Times New Roman" w:eastAsia="Times New Roman" w:hAnsi="Times New Roman"/>
          <w:sz w:val="18"/>
          <w:szCs w:val="18"/>
          <w:color w:val="auto"/>
        </w:rPr>
      </w:pPr>
    </w:p>
    <w:p>
      <w:pPr>
        <w:ind w:left="740" w:hanging="354"/>
        <w:spacing w:after="0"/>
        <w:tabs>
          <w:tab w:leader="none" w:pos="7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utilize the “controlled company” exemption under the rules of Nasdaq;</w:t>
      </w:r>
    </w:p>
    <w:p>
      <w:pPr>
        <w:spacing w:after="0" w:line="279" w:lineRule="exact"/>
        <w:rPr>
          <w:rFonts w:ascii="Times New Roman" w:cs="Times New Roman" w:eastAsia="Times New Roman" w:hAnsi="Times New Roman"/>
          <w:sz w:val="18"/>
          <w:szCs w:val="18"/>
          <w:color w:val="auto"/>
        </w:rPr>
      </w:pPr>
    </w:p>
    <w:p>
      <w:pPr>
        <w:ind w:left="740" w:right="20" w:hanging="354"/>
        <w:spacing w:after="0" w:line="282" w:lineRule="auto"/>
        <w:tabs>
          <w:tab w:leader="none" w:pos="7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and regulatory enforcement risks, including the diversion of management time and attention and the additional costs and demands on our resources; and</w:t>
      </w:r>
    </w:p>
    <w:p>
      <w:pPr>
        <w:spacing w:after="0" w:line="213" w:lineRule="exact"/>
        <w:rPr>
          <w:rFonts w:ascii="Times New Roman" w:cs="Times New Roman" w:eastAsia="Times New Roman" w:hAnsi="Times New Roman"/>
          <w:sz w:val="18"/>
          <w:szCs w:val="18"/>
          <w:color w:val="auto"/>
        </w:rPr>
      </w:pPr>
    </w:p>
    <w:p>
      <w:pPr>
        <w:ind w:left="740" w:right="40" w:hanging="354"/>
        <w:spacing w:after="0" w:line="284" w:lineRule="auto"/>
        <w:tabs>
          <w:tab w:leader="none" w:pos="7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matters described under “</w:t>
      </w:r>
      <w:r>
        <w:rPr>
          <w:rFonts w:ascii="Times New Roman" w:cs="Times New Roman" w:eastAsia="Times New Roman" w:hAnsi="Times New Roman"/>
          <w:sz w:val="18"/>
          <w:szCs w:val="18"/>
          <w:i w:val="1"/>
          <w:iCs w:val="1"/>
          <w:color w:val="auto"/>
        </w:rPr>
        <w:t>Item 3. Key Information—D. Risk Factors</w:t>
      </w:r>
      <w:r>
        <w:rPr>
          <w:rFonts w:ascii="Times New Roman" w:cs="Times New Roman" w:eastAsia="Times New Roman" w:hAnsi="Times New Roman"/>
          <w:sz w:val="18"/>
          <w:szCs w:val="18"/>
          <w:color w:val="auto"/>
        </w:rPr>
        <w:t>” in our most recent annual report on Form 20-F, as amended, incorporated herein by reference.</w:t>
      </w:r>
    </w:p>
    <w:p>
      <w:pPr>
        <w:spacing w:after="0" w:line="9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caution you against placing undue reliance on forward-looking statements, which reflect current beliefs and are based on information currently available to us as of the date a forward-looking statement is made. Forward-looking statements set forth herein speak only as of the date of this prospectus. We do not undertake any obligation to revise forward-looking statements to reflect future events, changes in circumstances, or changes in beliefs. In the event that any forward-looking statement is updated, no inference should be made that we will make additional updates with respect to that statement, related matters, or any other forward-looking statements. Any corrections or revisions and other important assumptions and factors that could cause actual results to differ materially from forward-looking statements, including discussions of significant risk factors, may appear, in our public filings with the SEC, which are accessible at www.sec.gov, and which you are advised to consult.</w:t>
      </w:r>
    </w:p>
    <w:p>
      <w:pPr>
        <w:spacing w:after="0" w:line="9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Market, ranking and industry data used throughout this prospectus, including statements regarding market size, is based on independent industry surveys and publications. These data involve a number of assumptions and limitations, and you are cautioned not to give undue weight to such estimates. While we are not aware of any misstatements regarding the industry data presented herein, such estimates involve risks and uncertainties and are subject to change based on various factors, including those discussed under the headings “</w:t>
      </w:r>
      <w:r>
        <w:rPr>
          <w:rFonts w:ascii="Times New Roman" w:cs="Times New Roman" w:eastAsia="Times New Roman" w:hAnsi="Times New Roman"/>
          <w:sz w:val="18"/>
          <w:szCs w:val="18"/>
          <w:i w:val="1"/>
          <w:iCs w:val="1"/>
          <w:color w:val="auto"/>
        </w:rPr>
        <w:t>Cautionary Note Regarding Forward-Looking Statements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Risk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Factors</w:t>
      </w:r>
      <w:r>
        <w:rPr>
          <w:rFonts w:ascii="Times New Roman" w:cs="Times New Roman" w:eastAsia="Times New Roman" w:hAnsi="Times New Roman"/>
          <w:sz w:val="18"/>
          <w:szCs w:val="18"/>
          <w:color w:val="auto"/>
        </w:rPr>
        <w:t>” in our then-most recent annual report on Form 20-F, as amended, and any updates to those risk factors in our reports on Form 6-K incorporated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reference in this prospectus, together with all of the other information appearing or incorporated by reference in this prospectus.</w:t>
      </w: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6"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450850</wp:posOffset>
            </wp:positionV>
            <wp:extent cx="7145020" cy="66135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5020" cy="6613525"/>
                    </a:xfrm>
                    <a:prstGeom prst="rect">
                      <a:avLst/>
                    </a:prstGeom>
                    <a:noFill/>
                  </pic:spPr>
                </pic:pic>
              </a:graphicData>
            </a:graphic>
          </wp:anchor>
        </w:drawing>
        <w:t>SUMMARY OF THE PROSPECTUS</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This summary highlights certain information about us, this offering and selected information contained elsewhere in this prospectus. This summary is not complete and does not contain all of the information that you should consider before deciding whether to invest in the securities covered by this prospectus. You should read the following summary together with the more detailed information in this prospectus, any related prospectus supplement and any related free writing prospectus, including the information set forth in the section titled “Risk Factors” in this prospectus, any related prospectus supplement and any related free writing prospectus in their entirety before making an investment decision.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GCL Global Holdings Ltd, together with the Group Subsidiaries (“</w:t>
      </w:r>
      <w:r>
        <w:rPr>
          <w:rFonts w:ascii="Times New Roman" w:cs="Times New Roman" w:eastAsia="Times New Roman" w:hAnsi="Times New Roman"/>
          <w:sz w:val="18"/>
          <w:szCs w:val="18"/>
          <w:b w:val="1"/>
          <w:bCs w:val="1"/>
          <w:i w:val="1"/>
          <w:iCs w:val="1"/>
          <w:color w:val="auto"/>
        </w:rPr>
        <w:t>GCL Group</w:t>
      </w:r>
      <w:r>
        <w:rPr>
          <w:rFonts w:ascii="Times New Roman" w:cs="Times New Roman" w:eastAsia="Times New Roman" w:hAnsi="Times New Roman"/>
          <w:sz w:val="18"/>
          <w:szCs w:val="18"/>
          <w:color w:val="auto"/>
        </w:rPr>
        <w:t>”), is a developer, distributor, marketer, and publisher of video games and other entertainment content throughout Asia, Europe, the U.S. and Latin America. It sells and distributes to retailers and consumers in Asia physical and digital copies of video games through physical retailers, such as Sony PlayStation stores in Japan, and online channels in Singapore, Hong Kong, Malaysia, Japan, South Korea, Taiwan, Thailand, Indonesia, the Philippines and other Asian countries. Over 46.3%, 86.8% , and 93.3%, of our total consolidated revenue for the six months ended September 30, 2025, and for the years ended March 31, 2025 and 2024, respectively, was derived from the sale of either games on consoles such as Sony PlayStation, Microsoft Xbox, Nintendo Switch and personal computer (“</w:t>
      </w:r>
      <w:r>
        <w:rPr>
          <w:rFonts w:ascii="Times New Roman" w:cs="Times New Roman" w:eastAsia="Times New Roman" w:hAnsi="Times New Roman"/>
          <w:sz w:val="18"/>
          <w:szCs w:val="18"/>
          <w:b w:val="1"/>
          <w:bCs w:val="1"/>
          <w:i w:val="1"/>
          <w:iCs w:val="1"/>
          <w:color w:val="auto"/>
        </w:rPr>
        <w:t>PC</w:t>
      </w:r>
      <w:r>
        <w:rPr>
          <w:rFonts w:ascii="Times New Roman" w:cs="Times New Roman" w:eastAsia="Times New Roman" w:hAnsi="Times New Roman"/>
          <w:sz w:val="18"/>
          <w:szCs w:val="18"/>
          <w:color w:val="auto"/>
        </w:rPr>
        <w:t>”) to retailers, or game activation keys (the so-called “game codes”) via electronic delivery to retailers or end-users through email or download.</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The Company has its own creative media design team with studio facilities to produce marketing and promotional materials adapted to local markets and develop original content as part of its content creation or marketing business. Partnering with international video game publishers and developers, the Company has an established track record of selling and marketing top-tier video game franchises such as </w:t>
      </w:r>
      <w:r>
        <w:rPr>
          <w:rFonts w:ascii="Times New Roman" w:cs="Times New Roman" w:eastAsia="Times New Roman" w:hAnsi="Times New Roman"/>
          <w:sz w:val="18"/>
          <w:szCs w:val="18"/>
          <w:i w:val="1"/>
          <w:iCs w:val="1"/>
          <w:color w:val="auto"/>
        </w:rPr>
        <w:t>Grand Theft Auto, Red Dead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Redemption, Sonic the Hedgehog, Cyberpunk 2077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Black Myth: Wukong.</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GCL Group leverages its diverse portfolio of digital and physical content to bridge cultures and audiences by introducing Asian-developed IP to a global audience across consoles and PCs. 4Divinity was formed in 2022 as a Group Subsidiary dedicated to games publishing and game development. GCL Group has either published or co-published more than twelve game titles. The Company also has its own production studio and advertising agency, providing media and content advertising services for small and medium-sized enterprises (the “</w:t>
      </w:r>
      <w:r>
        <w:rPr>
          <w:rFonts w:ascii="Times New Roman" w:cs="Times New Roman" w:eastAsia="Times New Roman" w:hAnsi="Times New Roman"/>
          <w:sz w:val="18"/>
          <w:szCs w:val="18"/>
          <w:b w:val="1"/>
          <w:bCs w:val="1"/>
          <w:i w:val="1"/>
          <w:iCs w:val="1"/>
          <w:color w:val="auto"/>
        </w:rPr>
        <w:t>SMEs</w:t>
      </w:r>
      <w:r>
        <w:rPr>
          <w:rFonts w:ascii="Times New Roman" w:cs="Times New Roman" w:eastAsia="Times New Roman" w:hAnsi="Times New Roman"/>
          <w:sz w:val="18"/>
          <w:szCs w:val="18"/>
          <w:color w:val="auto"/>
        </w:rPr>
        <w:t>”) and government agencies.</w:t>
      </w:r>
    </w:p>
    <w:p>
      <w:pPr>
        <w:spacing w:after="0" w:line="180"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 xml:space="preserve">Mr. Jacky Choo See Wee, our Group Chairman and Chief Executive Officer of Epicsoft Asia and 4Divinity, has over 20 years of video games distribution and retail network management experience in Asia. Under Mr. Choo’s leadership, Epicsoft Asia has become a leading channel distributor for console games, and has forged multi-year deals with international video game publishers and studios such as Sega Corporation (“Sega”), Take-Two Interactive Software UK Limited (“Take-two”), CD Projekt S.A. (“CDPR”) and Warner Bros. Games to sell select game titles within certain territories in Asia. Together with Epicsoft Hong Kong, Epicsoft Malaysia and 2Game, Epicsoft Asia currently has one of the largest networks for video games distribution in Asia through resellers with more than 2,100 physical and online stores, and has sold more than 14.1 million of physical and digital copies of video games during the past three fiscal years. It has distributed in Asia four of the top ten best-selling video games of all time1, three of which it is currently still selling. It is also responsible for bringing to Asia some award-winning all-time favorite video games, such as Hogwarts Legacy, Grand </w:t>
      </w:r>
      <w:r>
        <w:rPr>
          <w:rFonts w:ascii="Times New Roman" w:cs="Times New Roman" w:eastAsia="Times New Roman" w:hAnsi="Times New Roman"/>
          <w:sz w:val="18"/>
          <w:szCs w:val="18"/>
          <w:i w:val="1"/>
          <w:iCs w:val="1"/>
          <w:color w:val="auto"/>
        </w:rPr>
        <w:t xml:space="preserve">Theft Auto IV, Grand Theft Auto V, Red Dead Redemption II, Cyberpunk 2077, The Witcher 3: Wild Hunt, Elden Ring: Nightreign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Black Myth: Wukong</w:t>
      </w:r>
      <w:r>
        <w:rPr>
          <w:rFonts w:ascii="Times New Roman" w:cs="Times New Roman" w:eastAsia="Times New Roman" w:hAnsi="Times New Roman"/>
          <w:sz w:val="18"/>
          <w:szCs w:val="18"/>
          <w:color w:val="auto"/>
        </w:rPr>
        <w:t>.</w:t>
      </w:r>
    </w:p>
    <w:p>
      <w:pPr>
        <w:spacing w:after="0" w:line="190"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color w:val="auto"/>
        </w:rPr>
        <w:t>2Game is GCL Group’s authorized digital sales platform. It operates as a business-to-business (“</w:t>
      </w:r>
      <w:r>
        <w:rPr>
          <w:rFonts w:ascii="Times New Roman" w:cs="Times New Roman" w:eastAsia="Times New Roman" w:hAnsi="Times New Roman"/>
          <w:sz w:val="18"/>
          <w:szCs w:val="18"/>
          <w:b w:val="1"/>
          <w:bCs w:val="1"/>
          <w:i w:val="1"/>
          <w:iCs w:val="1"/>
          <w:color w:val="auto"/>
        </w:rPr>
        <w:t>B2B</w:t>
      </w:r>
      <w:r>
        <w:rPr>
          <w:rFonts w:ascii="Times New Roman" w:cs="Times New Roman" w:eastAsia="Times New Roman" w:hAnsi="Times New Roman"/>
          <w:sz w:val="18"/>
          <w:szCs w:val="18"/>
          <w:color w:val="auto"/>
        </w:rPr>
        <w:t>”) and business-to-consumer (“</w:t>
      </w:r>
      <w:r>
        <w:rPr>
          <w:rFonts w:ascii="Times New Roman" w:cs="Times New Roman" w:eastAsia="Times New Roman" w:hAnsi="Times New Roman"/>
          <w:sz w:val="18"/>
          <w:szCs w:val="18"/>
          <w:b w:val="1"/>
          <w:bCs w:val="1"/>
          <w:i w:val="1"/>
          <w:iCs w:val="1"/>
          <w:color w:val="auto"/>
        </w:rPr>
        <w:t>B2C</w:t>
      </w:r>
      <w:r>
        <w:rPr>
          <w:rFonts w:ascii="Times New Roman" w:cs="Times New Roman" w:eastAsia="Times New Roman" w:hAnsi="Times New Roman"/>
          <w:sz w:val="18"/>
          <w:szCs w:val="18"/>
          <w:color w:val="auto"/>
        </w:rPr>
        <w:t>”) digital video game retailer. It sells and distributes game activation keys, the so-called “activation keys” or “game codes” to both resellers and consumers as part of GCL Group’s concerted effort to transition from physical console game compact discs to activation keys and content.</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4Divinity is GCL Group’s publishing arm. Its mission is to develop game IP, invest in upcoming game titles, to publish, or co-publish with international game publishers and content development studios, to introduce new video games and entertainment properties to Asia’s fast-growing market of gamers, and to introduce original Asian-developed video games and entertainment content to the global market.</w:t>
      </w:r>
    </w:p>
    <w:p>
      <w:pPr>
        <w:spacing w:after="0" w:line="200" w:lineRule="exact"/>
        <w:rPr>
          <w:sz w:val="20"/>
          <w:szCs w:val="20"/>
          <w:color w:val="auto"/>
        </w:rPr>
      </w:pPr>
    </w:p>
    <w:p>
      <w:pPr>
        <w:spacing w:after="0" w:line="21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460" w:top="927" w:right="439" w:bottom="1440" w:gutter="0" w:footer="0" w:header="0"/>
        </w:sectPr>
      </w:pPr>
    </w:p>
    <w:bookmarkStart w:id="10" w:name="page11"/>
    <w:bookmarkEnd w:id="10"/>
    <w:p>
      <w:pPr>
        <w:jc w:val="both"/>
        <w:ind w:firstLine="324"/>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45020" cy="51301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5020" cy="5130165"/>
                    </a:xfrm>
                    <a:prstGeom prst="rect">
                      <a:avLst/>
                    </a:prstGeom>
                    <a:noFill/>
                  </pic:spPr>
                </pic:pic>
              </a:graphicData>
            </a:graphic>
          </wp:anchor>
        </w:drawing>
        <w:t>Titan Digital Media (“</w:t>
      </w:r>
      <w:r>
        <w:rPr>
          <w:rFonts w:ascii="Times New Roman" w:cs="Times New Roman" w:eastAsia="Times New Roman" w:hAnsi="Times New Roman"/>
          <w:sz w:val="18"/>
          <w:szCs w:val="18"/>
          <w:b w:val="1"/>
          <w:bCs w:val="1"/>
          <w:i w:val="1"/>
          <w:iCs w:val="1"/>
          <w:color w:val="auto"/>
        </w:rPr>
        <w:t>TDM</w:t>
      </w:r>
      <w:r>
        <w:rPr>
          <w:rFonts w:ascii="Times New Roman" w:cs="Times New Roman" w:eastAsia="Times New Roman" w:hAnsi="Times New Roman"/>
          <w:sz w:val="18"/>
          <w:szCs w:val="18"/>
          <w:color w:val="auto"/>
        </w:rPr>
        <w:t>”) is a Group Subsidiary specialized in creating customized and strategic marketing campaigns specific to a brand’s needs. With its in-house strategists, producers, designers, video production and marketing team, TDM is a full-service agency that connects a brand with its target audience to achieve campaign key performance indicators (“</w:t>
      </w:r>
      <w:r>
        <w:rPr>
          <w:rFonts w:ascii="Times New Roman" w:cs="Times New Roman" w:eastAsia="Times New Roman" w:hAnsi="Times New Roman"/>
          <w:sz w:val="18"/>
          <w:szCs w:val="18"/>
          <w:b w:val="1"/>
          <w:bCs w:val="1"/>
          <w:i w:val="1"/>
          <w:iCs w:val="1"/>
          <w:color w:val="auto"/>
        </w:rPr>
        <w:t>KPIs</w:t>
      </w:r>
      <w:r>
        <w:rPr>
          <w:rFonts w:ascii="Times New Roman" w:cs="Times New Roman" w:eastAsia="Times New Roman" w:hAnsi="Times New Roman"/>
          <w:sz w:val="18"/>
          <w:szCs w:val="18"/>
          <w:color w:val="auto"/>
        </w:rPr>
        <w:t>”) and marketing goals. It has a production studio, an advertising agency, and a multi-channel network of talent.</w:t>
      </w:r>
    </w:p>
    <w:p>
      <w:pPr>
        <w:spacing w:after="0" w:line="176"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color w:val="auto"/>
        </w:rPr>
        <w:t>Ban Leong Technologies Pte. Ltd. (“</w:t>
      </w:r>
      <w:r>
        <w:rPr>
          <w:rFonts w:ascii="Times New Roman" w:cs="Times New Roman" w:eastAsia="Times New Roman" w:hAnsi="Times New Roman"/>
          <w:sz w:val="18"/>
          <w:szCs w:val="18"/>
          <w:b w:val="1"/>
          <w:bCs w:val="1"/>
          <w:i w:val="1"/>
          <w:iCs w:val="1"/>
          <w:color w:val="auto"/>
        </w:rPr>
        <w:t>Ban Leong</w:t>
      </w:r>
      <w:r>
        <w:rPr>
          <w:rFonts w:ascii="Times New Roman" w:cs="Times New Roman" w:eastAsia="Times New Roman" w:hAnsi="Times New Roman"/>
          <w:sz w:val="18"/>
          <w:szCs w:val="18"/>
          <w:color w:val="auto"/>
        </w:rPr>
        <w:t>”) is an indirect wholly-owned subsidiary of the Company, principally engaged in the wholesale and distribution of computer peripherals, accessories and other multimedia products, with operations across Singapore, Malaysia, and Thailand.</w:t>
      </w:r>
    </w:p>
    <w:p>
      <w:pPr>
        <w:spacing w:after="0" w:line="15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GCL Group is headquartered in Singapore, with subsidiaries in Malaysia, Hong Kong, Thailand, China, Japan, Taiwan, Brazil, the United Kingdom and the United Arab Emirates.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Private Placement of Ordinary Shares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Pursuant to a Subscription Agreement dated August 22, 2025 with Teng Woo Boon (“Teng”), the Managing Director of Ban Leong, an indirect wholly-owned subsidiary of the Company, the Company sold and issued to Teng 625,000 ordinary shares at $4.00 per share, above the then trading price of the ordinary shares, in a private placement.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Resale by Selling Shareholder pursuant to this prospectus</w:t>
      </w:r>
    </w:p>
    <w:p>
      <w:pPr>
        <w:spacing w:after="0" w:line="22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This prospectus relates to the resale from time to time of up to 625,000 ordinary shares by Teng.</w:t>
      </w:r>
    </w:p>
    <w:p>
      <w:pPr>
        <w:spacing w:after="0" w:line="22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For so long as the effective registration statement of which this prospectus forms a part is available for use, the Selling Shareholder can sell under this prospectus an aggregate of up to 625,000 Ordinary Shares. The sale of shares by the Selling Shareholder, or the perception in the market that the holders of a large number of our Ordinary Shares intend to sell their shares, could increase the volatility of, or result in a significant decline in, the public trading price of the Ordinary Shares.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Corporate Information</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We are an exempted company incorporated in the Cayman Islands with limited liability. Our principal executive office is located at 29 Tai Seng Avenue #02-01, Natural Cool Lifestyle Hub, Singapore 534119. Our telephone number is +65 80427330. Our website is www.gclglobalholdings.com.</w:t>
      </w:r>
    </w:p>
    <w:p>
      <w:pPr>
        <w:spacing w:after="0" w:line="16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SEC maintains a website at www.sec.gov which contains in electronic form each of the reports and other information that we have filed electronically with the SEC.</w:t>
      </w:r>
    </w:p>
    <w:p>
      <w:pPr>
        <w:spacing w:after="0" w:line="16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Our agent for service of process in the United States is Cogency Global Inc., 122 East 42</w:t>
      </w:r>
      <w:r>
        <w:rPr>
          <w:rFonts w:ascii="Times New Roman" w:cs="Times New Roman" w:eastAsia="Times New Roman" w:hAnsi="Times New Roman"/>
          <w:sz w:val="29"/>
          <w:szCs w:val="29"/>
          <w:color w:val="auto"/>
          <w:vertAlign w:val="superscript"/>
        </w:rPr>
        <w:t>nd</w:t>
      </w:r>
      <w:r>
        <w:rPr>
          <w:rFonts w:ascii="Times New Roman" w:cs="Times New Roman" w:eastAsia="Times New Roman" w:hAnsi="Times New Roman"/>
          <w:sz w:val="18"/>
          <w:szCs w:val="18"/>
          <w:color w:val="auto"/>
        </w:rPr>
        <w:t xml:space="preserve"> Street, 18</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 New York, New York 10168.</w:t>
      </w:r>
    </w:p>
    <w:p>
      <w:pPr>
        <w:spacing w:after="0" w:line="37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460" w:top="927" w:right="439" w:bottom="1440" w:gutter="0" w:footer="0" w:header="0"/>
        </w:sectPr>
      </w:pPr>
    </w:p>
    <w:bookmarkStart w:id="11" w:name="page12"/>
    <w:bookmarkEnd w:id="11"/>
    <w:p>
      <w:pPr>
        <w:ind w:left="1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45020" cy="88163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5020" cy="8816340"/>
                    </a:xfrm>
                    <a:prstGeom prst="rect">
                      <a:avLst/>
                    </a:prstGeom>
                    <a:noFill/>
                  </pic:spPr>
                </pic:pic>
              </a:graphicData>
            </a:graphic>
          </wp:anchor>
        </w:drawing>
        <w:t>Our Organizational Structure</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chart illustrates the current corporate structure of GCL: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Names of entities referred to in chart: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5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Term</w:t>
            </w:r>
          </w:p>
        </w:tc>
        <w:tc>
          <w:tcPr>
            <w:tcW w:w="2740" w:type="dxa"/>
            <w:vAlign w:val="bottom"/>
            <w:gridSpan w:val="2"/>
          </w:tcPr>
          <w:p>
            <w:pPr>
              <w:ind w:left="700"/>
              <w:spacing w:after="0"/>
              <w:rPr>
                <w:sz w:val="20"/>
                <w:szCs w:val="20"/>
                <w:color w:val="auto"/>
              </w:rPr>
            </w:pPr>
            <w:r>
              <w:rPr>
                <w:rFonts w:ascii="Times New Roman" w:cs="Times New Roman" w:eastAsia="Times New Roman" w:hAnsi="Times New Roman"/>
                <w:sz w:val="18"/>
                <w:szCs w:val="18"/>
                <w:b w:val="1"/>
                <w:bCs w:val="1"/>
                <w:color w:val="auto"/>
              </w:rPr>
              <w:t>Company Name</w:t>
            </w:r>
          </w:p>
        </w:tc>
        <w:tc>
          <w:tcPr>
            <w:tcW w:w="2640" w:type="dxa"/>
            <w:vAlign w:val="bottom"/>
            <w:gridSpan w:val="2"/>
          </w:tcPr>
          <w:p>
            <w:pPr>
              <w:ind w:left="1060"/>
              <w:spacing w:after="0"/>
              <w:rPr>
                <w:sz w:val="20"/>
                <w:szCs w:val="20"/>
                <w:color w:val="auto"/>
              </w:rPr>
            </w:pPr>
            <w:r>
              <w:rPr>
                <w:rFonts w:ascii="Times New Roman" w:cs="Times New Roman" w:eastAsia="Times New Roman" w:hAnsi="Times New Roman"/>
                <w:sz w:val="18"/>
                <w:szCs w:val="18"/>
                <w:b w:val="1"/>
                <w:bCs w:val="1"/>
                <w:color w:val="auto"/>
              </w:rPr>
              <w:t>Term</w:t>
            </w:r>
          </w:p>
        </w:tc>
        <w:tc>
          <w:tcPr>
            <w:tcW w:w="3200" w:type="dxa"/>
            <w:vAlign w:val="bottom"/>
            <w:gridSpan w:val="3"/>
          </w:tcPr>
          <w:p>
            <w:pPr>
              <w:ind w:left="920"/>
              <w:spacing w:after="0"/>
              <w:rPr>
                <w:sz w:val="20"/>
                <w:szCs w:val="20"/>
                <w:color w:val="auto"/>
              </w:rPr>
            </w:pPr>
            <w:r>
              <w:rPr>
                <w:rFonts w:ascii="Times New Roman" w:cs="Times New Roman" w:eastAsia="Times New Roman" w:hAnsi="Times New Roman"/>
                <w:sz w:val="18"/>
                <w:szCs w:val="18"/>
                <w:b w:val="1"/>
                <w:bCs w:val="1"/>
                <w:color w:val="auto"/>
              </w:rPr>
              <w:t>Company Name</w:t>
            </w: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2Game</w:t>
            </w:r>
          </w:p>
        </w:tc>
        <w:tc>
          <w:tcPr>
            <w:tcW w:w="120" w:type="dxa"/>
            <w:vAlign w:val="bottom"/>
            <w:tcBorders>
              <w:top w:val="single" w:sz="8" w:color="CCEEFF"/>
            </w:tcBorders>
            <w:shd w:val="clear" w:color="auto" w:fill="CCEEFF"/>
          </w:tcPr>
          <w:p>
            <w:pPr>
              <w:spacing w:after="0"/>
              <w:rPr>
                <w:sz w:val="18"/>
                <w:szCs w:val="18"/>
                <w:color w:val="auto"/>
              </w:rPr>
            </w:pPr>
          </w:p>
        </w:tc>
        <w:tc>
          <w:tcPr>
            <w:tcW w:w="26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2Game Digital Limited</w:t>
            </w:r>
          </w:p>
        </w:tc>
        <w:tc>
          <w:tcPr>
            <w:tcW w:w="100" w:type="dxa"/>
            <w:vAlign w:val="bottom"/>
            <w:tcBorders>
              <w:top w:val="single" w:sz="8" w:color="CCEEFF"/>
            </w:tcBorders>
            <w:shd w:val="clear" w:color="auto" w:fill="CCEEFF"/>
          </w:tcPr>
          <w:p>
            <w:pPr>
              <w:spacing w:after="0"/>
              <w:rPr>
                <w:sz w:val="18"/>
                <w:szCs w:val="18"/>
                <w:color w:val="auto"/>
              </w:rPr>
            </w:pPr>
          </w:p>
        </w:tc>
        <w:tc>
          <w:tcPr>
            <w:tcW w:w="25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Epicsoft Hong Kong</w:t>
            </w:r>
          </w:p>
        </w:tc>
        <w:tc>
          <w:tcPr>
            <w:tcW w:w="120" w:type="dxa"/>
            <w:vAlign w:val="bottom"/>
            <w:tcBorders>
              <w:top w:val="single" w:sz="8" w:color="CCEEFF"/>
            </w:tcBorders>
            <w:shd w:val="clear" w:color="auto" w:fill="CCEEFF"/>
          </w:tcPr>
          <w:p>
            <w:pPr>
              <w:spacing w:after="0"/>
              <w:rPr>
                <w:sz w:val="18"/>
                <w:szCs w:val="18"/>
                <w:color w:val="auto"/>
              </w:rPr>
            </w:pPr>
          </w:p>
        </w:tc>
        <w:tc>
          <w:tcPr>
            <w:tcW w:w="30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Epicsoft (Hong Kong) Limited</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2Game Brazil</w:t>
            </w:r>
          </w:p>
        </w:tc>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 Game Pro Ltda.</w:t>
            </w:r>
          </w:p>
        </w:tc>
        <w:tc>
          <w:tcPr>
            <w:tcW w:w="2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Epicsoft Malaysia</w:t>
            </w:r>
          </w:p>
        </w:tc>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Epicsoft Malaysia Sdn. Bhd.</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2Game Dubai</w:t>
            </w:r>
          </w:p>
        </w:tc>
        <w:tc>
          <w:tcPr>
            <w:tcW w:w="2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2Game Digital DMCC</w:t>
            </w:r>
          </w:p>
        </w:tc>
        <w:tc>
          <w:tcPr>
            <w:tcW w:w="2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GCL Global SG</w:t>
            </w:r>
          </w:p>
        </w:tc>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GCL Global Pte. Ltd.</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4Divinity</w:t>
            </w:r>
          </w:p>
        </w:tc>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4Divinity Pte. Ltd.</w:t>
            </w:r>
          </w:p>
        </w:tc>
        <w:tc>
          <w:tcPr>
            <w:tcW w:w="2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GCL Taiwan</w:t>
            </w:r>
          </w:p>
        </w:tc>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GCL Taiwan Co., Ltd.</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4Divinity Hong Kong</w:t>
            </w:r>
          </w:p>
        </w:tc>
        <w:tc>
          <w:tcPr>
            <w:tcW w:w="2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4Divinity HK Ltd.</w:t>
            </w:r>
          </w:p>
        </w:tc>
        <w:tc>
          <w:tcPr>
            <w:tcW w:w="2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Hainan GCL</w:t>
            </w:r>
          </w:p>
        </w:tc>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Hainan GCL Technology Co. Ltd.</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4Divinity UK</w:t>
            </w:r>
          </w:p>
        </w:tc>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4Divinity UK Ltd.</w:t>
            </w:r>
          </w:p>
        </w:tc>
        <w:tc>
          <w:tcPr>
            <w:tcW w:w="2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Martiangear</w:t>
            </w:r>
          </w:p>
        </w:tc>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Martiangear Pte. Ltd.</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4Divinity JP</w:t>
            </w:r>
          </w:p>
        </w:tc>
        <w:tc>
          <w:tcPr>
            <w:tcW w:w="2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4Divinity Japan Ltd.</w:t>
            </w:r>
          </w:p>
        </w:tc>
        <w:tc>
          <w:tcPr>
            <w:tcW w:w="2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Starry Jewelry</w:t>
            </w:r>
          </w:p>
        </w:tc>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Starry Jewelry Pte. Ltd.</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Digital Hub</w:t>
            </w:r>
          </w:p>
        </w:tc>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Digital Hub Pte. Ltd.</w:t>
            </w:r>
          </w:p>
        </w:tc>
        <w:tc>
          <w:tcPr>
            <w:tcW w:w="2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Titan Digital Media</w:t>
            </w:r>
          </w:p>
        </w:tc>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Titan Digital Media Pte. Ltd.</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Epicsoft Asia</w:t>
            </w:r>
          </w:p>
        </w:tc>
        <w:tc>
          <w:tcPr>
            <w:tcW w:w="2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Epicsoft Asia Pte. Ltd.</w:t>
            </w:r>
          </w:p>
        </w:tc>
        <w:tc>
          <w:tcPr>
            <w:tcW w:w="2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9"/>
        </w:trPr>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6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5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0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r>
      <w:tr>
        <w:trPr>
          <w:trHeight w:val="443"/>
        </w:trPr>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260"/>
          </w:cols>
          <w:pgMar w:left="320" w:top="927" w:right="31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45020" cy="40074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5020" cy="4007485"/>
                    </a:xfrm>
                    <a:prstGeom prst="rect">
                      <a:avLst/>
                    </a:prstGeom>
                    <a:noFill/>
                  </pic:spPr>
                </pic:pic>
              </a:graphicData>
            </a:graphic>
          </wp:anchor>
        </w:drawing>
        <w:t>THE OFFERING</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The summary below describes the principal terms of the offering. The “Description of Securities” section of this prospectus contains a more detailed description of the ordinary shares of the Company. Any investment in the securities offered hereby is speculative and involves a high degree of risk. You should carefully consider the information set forth under “Risk Factors” of this prospectus as well as those contained in our most recent annual report on Form 20-F, as amended, and any updates to those risks in our reports on Form 6-K, in each case incorporated by reference herein, together with all of the other information appearing or incorporated by reference herein.</w:t>
      </w:r>
    </w:p>
    <w:p>
      <w:pPr>
        <w:sectPr>
          <w:pgSz w:w="11900" w:h="16838" w:orient="portrait"/>
          <w:cols w:equalWidth="0" w:num="1">
            <w:col w:w="11000"/>
          </w:cols>
          <w:pgMar w:left="460" w:top="927" w:right="439" w:bottom="1440" w:gutter="0" w:footer="0" w:header="0"/>
        </w:sectPr>
      </w:pP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Issuer</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GCL Global Holdings Ltd</w:t>
      </w:r>
    </w:p>
    <w:p>
      <w:pPr>
        <w:spacing w:after="0" w:line="200" w:lineRule="exact"/>
        <w:rPr>
          <w:sz w:val="20"/>
          <w:szCs w:val="20"/>
          <w:color w:val="auto"/>
        </w:rPr>
      </w:pPr>
    </w:p>
    <w:p>
      <w:pPr>
        <w:sectPr>
          <w:pgSz w:w="11900" w:h="16838" w:orient="portrait"/>
          <w:cols w:equalWidth="0" w:num="2">
            <w:col w:w="2680" w:space="720"/>
            <w:col w:w="7600"/>
          </w:cols>
          <w:pgMar w:left="460" w:top="927" w:right="439" w:bottom="1440" w:gutter="0" w:footer="0" w:header="0"/>
          <w:type w:val="continuous"/>
        </w:sectPr>
      </w:pP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Resale of Ordinary Shares</w:t>
      </w:r>
    </w:p>
    <w:p>
      <w:pPr>
        <w:sectPr>
          <w:pgSz w:w="11900" w:h="16838" w:orient="portrait"/>
          <w:cols w:equalWidth="0" w:num="1">
            <w:col w:w="11000"/>
          </w:cols>
          <w:pgMar w:left="460" w:top="927" w:right="439" w:bottom="1440" w:gutter="0" w:footer="0" w:header="0"/>
          <w:type w:val="continuous"/>
        </w:sectPr>
      </w:pPr>
    </w:p>
    <w:p>
      <w:pPr>
        <w:spacing w:after="0" w:line="239" w:lineRule="exact"/>
        <w:rPr>
          <w:sz w:val="20"/>
          <w:szCs w:val="20"/>
          <w:color w:val="auto"/>
        </w:rPr>
      </w:pPr>
    </w:p>
    <w:p>
      <w:pPr>
        <w:ind w:left="160" w:hanging="161"/>
        <w:spacing w:after="0" w:line="267" w:lineRule="auto"/>
        <w:rPr>
          <w:sz w:val="20"/>
          <w:szCs w:val="20"/>
          <w:color w:val="auto"/>
        </w:rPr>
      </w:pPr>
      <w:r>
        <w:rPr>
          <w:rFonts w:ascii="Times New Roman" w:cs="Times New Roman" w:eastAsia="Times New Roman" w:hAnsi="Times New Roman"/>
          <w:sz w:val="18"/>
          <w:szCs w:val="18"/>
          <w:i w:val="1"/>
          <w:iCs w:val="1"/>
          <w:color w:val="auto"/>
        </w:rPr>
        <w:t>The Ordinary Shares that may be offered and sold from time to time by the Selling Shareholder</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 to 625,000 Ordinary shares</w:t>
      </w:r>
    </w:p>
    <w:p>
      <w:pPr>
        <w:spacing w:after="0" w:line="654" w:lineRule="exact"/>
        <w:rPr>
          <w:sz w:val="20"/>
          <w:szCs w:val="20"/>
          <w:color w:val="auto"/>
        </w:rPr>
      </w:pPr>
    </w:p>
    <w:p>
      <w:pPr>
        <w:sectPr>
          <w:pgSz w:w="11900" w:h="16838" w:orient="portrait"/>
          <w:cols w:equalWidth="0" w:num="2">
            <w:col w:w="3240" w:space="160"/>
            <w:col w:w="7600"/>
          </w:cols>
          <w:pgMar w:left="460" w:top="927"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i w:val="1"/>
          <w:iCs w:val="1"/>
          <w:color w:val="auto"/>
        </w:rPr>
        <w:t>Terms of the Offering</w:t>
      </w:r>
    </w:p>
    <w:p>
      <w:pPr>
        <w:spacing w:after="0" w:line="20" w:lineRule="exact"/>
        <w:rPr>
          <w:sz w:val="20"/>
          <w:szCs w:val="20"/>
          <w:color w:val="auto"/>
        </w:rPr>
      </w:pPr>
      <w:r>
        <w:rPr>
          <w:sz w:val="20"/>
          <w:szCs w:val="20"/>
          <w:color w:val="auto"/>
        </w:rPr>
        <w:br w:type="column"/>
      </w: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 Selling Shareholder will determine when and how they will dispose of the securities being registered for resale by the Selling Shareholder registered under this prospectus. The securities offered by this prospectus may be offered and sold at prevailing market prices, privately negotiated prices or such other prices as the Selling Shareholder may determine. See the section titled “</w:t>
      </w:r>
      <w:r>
        <w:rPr>
          <w:rFonts w:ascii="Times New Roman" w:cs="Times New Roman" w:eastAsia="Times New Roman" w:hAnsi="Times New Roman"/>
          <w:sz w:val="18"/>
          <w:szCs w:val="18"/>
          <w:i w:val="1"/>
          <w:iCs w:val="1"/>
          <w:color w:val="auto"/>
        </w:rPr>
        <w:t>Plan of Distribution</w:t>
      </w:r>
      <w:r>
        <w:rPr>
          <w:rFonts w:ascii="Times New Roman" w:cs="Times New Roman" w:eastAsia="Times New Roman" w:hAnsi="Times New Roman"/>
          <w:sz w:val="18"/>
          <w:szCs w:val="18"/>
          <w:color w:val="auto"/>
        </w:rPr>
        <w:t>”.</w:t>
      </w:r>
    </w:p>
    <w:p>
      <w:pPr>
        <w:spacing w:after="0" w:line="178" w:lineRule="exact"/>
        <w:rPr>
          <w:sz w:val="20"/>
          <w:szCs w:val="20"/>
          <w:color w:val="auto"/>
        </w:rPr>
      </w:pPr>
    </w:p>
    <w:p>
      <w:pPr>
        <w:sectPr>
          <w:pgSz w:w="11900" w:h="16838" w:orient="portrait"/>
          <w:cols w:equalWidth="0" w:num="2">
            <w:col w:w="2680" w:space="720"/>
            <w:col w:w="7600"/>
          </w:cols>
          <w:pgMar w:left="460" w:top="927"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i w:val="1"/>
          <w:iCs w:val="1"/>
          <w:color w:val="auto"/>
        </w:rPr>
        <w:t>Use of proceeds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We will not receive any of the proceeds from the sale of the securities by the Selling Shareholder.</w:t>
      </w:r>
    </w:p>
    <w:p>
      <w:pPr>
        <w:spacing w:after="0" w:line="200" w:lineRule="exact"/>
        <w:rPr>
          <w:sz w:val="20"/>
          <w:szCs w:val="20"/>
          <w:color w:val="auto"/>
        </w:rPr>
      </w:pPr>
    </w:p>
    <w:p>
      <w:pPr>
        <w:sectPr>
          <w:pgSz w:w="11900" w:h="16838" w:orient="portrait"/>
          <w:cols w:equalWidth="0" w:num="2">
            <w:col w:w="2680" w:space="720"/>
            <w:col w:w="7600"/>
          </w:cols>
          <w:pgMar w:left="460" w:top="927" w:right="439" w:bottom="1440" w:gutter="0" w:footer="0" w:header="0"/>
          <w:type w:val="continuous"/>
        </w:sectPr>
      </w:pP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Market for Ordinary Shares</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Ordinary Shares are listed on The Nasdaq Global Select Market under the trading symbol “GCL”.</w:t>
      </w:r>
    </w:p>
    <w:p>
      <w:pPr>
        <w:spacing w:after="0" w:line="200" w:lineRule="exact"/>
        <w:rPr>
          <w:sz w:val="20"/>
          <w:szCs w:val="20"/>
          <w:color w:val="auto"/>
        </w:rPr>
      </w:pPr>
    </w:p>
    <w:p>
      <w:pPr>
        <w:sectPr>
          <w:pgSz w:w="11900" w:h="16838" w:orient="portrait"/>
          <w:cols w:equalWidth="0" w:num="2">
            <w:col w:w="2680" w:space="720"/>
            <w:col w:w="7600"/>
          </w:cols>
          <w:pgMar w:left="460" w:top="927" w:right="439" w:bottom="1440" w:gutter="0" w:footer="0" w:header="0"/>
          <w:type w:val="continuous"/>
        </w:sectPr>
      </w:pPr>
    </w:p>
    <w:p>
      <w:pPr>
        <w:spacing w:after="0" w:line="2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Except where otherwise stated, the number of Ordinary Shares that will be outstanding immediately before this offering excludes 16,500,000 Ordinary Shares underlying the Warrants and the 1,250,000 Ordinary Shares underlying the April 2026 Warrant.</w:t>
      </w:r>
    </w:p>
    <w:p>
      <w:pPr>
        <w:spacing w:after="0" w:line="200" w:lineRule="exact"/>
        <w:rPr>
          <w:sz w:val="20"/>
          <w:szCs w:val="20"/>
          <w:color w:val="auto"/>
        </w:rPr>
      </w:pPr>
    </w:p>
    <w:p>
      <w:pPr>
        <w:spacing w:after="0" w:line="20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460" w:top="927" w:right="439" w:bottom="1440" w:gutter="0" w:footer="0" w:header="0"/>
          <w:type w:val="continuous"/>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Investing in our securities involves significant risks. Before making a decision to invest in our securities, you should carefully consider the following risks and those discussed in our then-most recent annual report on Form 20-F, as amended, and any updates to those risk factors in our reports on Form 6-K incorporated by reference in this prospectus, together with all of the other information appearing or incorporated by reference in this prospectus, in light of your particular investment objectives and financial circumstances. Although we discuss key risks in our discussion of risk factors, new risks may emerge in the future, which may prove to be significant. We cannot predict future risks or estimate the extent to which they may affect our business, results of operations, financial condition and prospects.</w:t>
      </w:r>
    </w:p>
    <w:p>
      <w:pPr>
        <w:spacing w:after="0" w:line="182"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Additional risks not presently known to us or that we currently deem immaterial may also impair our business operations. The trading price and value of our securities could decline due to any of these risks, and you may lose all or part of your investment. This prospectus also contains forward-looking statements that involve risks and uncertainties. See the section entitled “Cautionary Note Regarding Forward-Looking Statements.”</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The Company is currently not in compliance with certain Nasdaq continued listing requirements; and if we are unable to regain compliance with Nasdaq’s continued listing requirements, our securities will be subject to delisting.</w:t>
      </w:r>
    </w:p>
    <w:p>
      <w:pPr>
        <w:spacing w:after="0" w:line="15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March 17, 2026, the Company received a notice (the “Bid Price Notice”) from Nasdaq stating that the Company’s ordinary shares failed to comply with the minimum $1.00 per share requirement for continued listing on the Nasdaq under Nasdaq Listing Rule 5450(a)(1) (the “Minimum Bid Price Rule”). Pursuant to Nasdaq Listing Rule 5810(c)(3)(A), the Company has an initial period of 180 calendar days, or until September 14, 2026, to regain compliance (the “Bid Price Compliance Period”). Pursuant to the Bid Price Notice, if at any time during the Compliance Period the closing bid price of the ordinary shares is at least $1.00 for a minimum of ten consecutive business days, Nasdaq will provide the Company with written confirmation of compliance and such matter will be closed.</w:t>
      </w:r>
    </w:p>
    <w:p>
      <w:pPr>
        <w:spacing w:after="0" w:line="18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If the Company fails to regain compliance with the Minimum Bid Price Rule during the Bid Price Compliance period, the Company may consider applying to transfer its securities from The Nasdaq Global Select Market to The Nasdaq Capital Market, provided that the Company meets the applicable market value of publicly held shares required for continued listing and all other applicable requirements for initial listing on The Nasdaq Capital Market (except for the bid price requirement). Such transfer would provide the Company with an additional 180 calendar days, or until March 15, 2027, to regain compliance. However, there can be no assurance that the Company would be eligible for the additional 180 calendar day compliance period, if applicable, or that the Nasdaq staff would grant the Company’s request for continued listing. If we are unable to regain compliance with any of these continued listing requirements, our securities will be subject to delisting.</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All of the securities offered by the Selling Shareholder pursuant to this prospectus will be sold by the Selling Shareholder for his account. We will not receive any of the proceeds from these sales.</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Selling Shareholder will pay any underwriting discounts and commissions and expenses incurred by the Selling Shareholder for brokerage, accounting, tax or legal services or any other expenses incurred by the Selling Shareholder in disposing of the securities. We will bear the costs, fees and expenses incurred in effecting the registration of the securities covered by this prospectus, including all registration and filing fees, Nasdaq listing fees and fees and expenses of our counsel and our independent registered public accounting firm.</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MATERIAL U.S. FEDERAL INCOME TAX CONSIDERATIONS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following is a general discussion of certain material U.S. federal income tax consequences of the ownership and disposition of Ordinary Shares for a U.S. Holder (as defined below). This discussion address only U.S. Holders that acquire Ordinary Shares in this offering. This discussion is for general information purposes only and does not purport to be a complete analysis or listing of all potential U.S. federal income tax consequences that may apply to a U.S. holder as a result of the ownership and disposition of Ordinary Shares. In addition, this discussion does not address all aspects of U.S. federal income taxation that may be relevant to particular holders nor does it take into account the individual facts and circumstances of any particular holder that may affect the U.S. federal income tax consequences to such holder, and accordingly, is not intended to be, and should not be construed as, tax advice.</w:t>
      </w:r>
    </w:p>
    <w:p>
      <w:pPr>
        <w:spacing w:after="0" w:line="18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This discussion is based on provisions of the U.S. Internal Revenue Code of 1986, as amended (the “Code”), the U.S. Treasury Regulations promulgated thereunder (whether final, temporary, or proposed) (the “Treasury Regulations”), published administrative rulings of the IRS, and judicial decisions, all as in effect on the date hereof. Any of the authorities on which this summary is based could be changed in a material and adverse manner at any time, and any such change could be applied on a retroactive or prospective basis which could affect the U.S. federal income tax considerations described in this summary. This discussion does not address the U.S. federal 3.8% Medicare tax imposed on certain net investment income or any aspects of U.S. federal taxation other than those pertaining to the income tax, nor does it address any tax consequences arising under any U.S. state and local, or non-U.S. tax laws. U.S. Holders should consult their own tax advisors regarding such tax consequences in light of their particular circumstances.</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has not sought any rulings from the IRS with respect to the statements made and the positions or conclusions described in this summary; thus, there can be no assurance that the IRS will not challenge the U.S. federal income tax treatment described below or that, if challenged, such treatment will be sustained by a court.</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This summary is limited to considerations relevant to U.S. Holders that hold Ordinary Shares as “capital assets” within the meaning of section 1221 of the Code (generally, property held for investment). This discussion does not address all aspects of U.S. federal income taxation that may be important to holders in light of their individual circumstances, including holders subject to special treatment under the U.S. tax laws, such as, for example:</w:t>
      </w:r>
    </w:p>
    <w:p>
      <w:pPr>
        <w:spacing w:after="0" w:line="203" w:lineRule="exact"/>
        <w:rPr>
          <w:sz w:val="20"/>
          <w:szCs w:val="20"/>
          <w:color w:val="auto"/>
        </w:rPr>
      </w:pPr>
    </w:p>
    <w:p>
      <w:pPr>
        <w:ind w:left="740" w:hanging="354"/>
        <w:spacing w:after="0"/>
        <w:tabs>
          <w:tab w:leader="none" w:pos="7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banks or other financial institutions, underwriters, or insurance companies;</w:t>
      </w:r>
    </w:p>
    <w:p>
      <w:pPr>
        <w:spacing w:after="0" w:line="279" w:lineRule="exact"/>
        <w:rPr>
          <w:rFonts w:ascii="Times New Roman" w:cs="Times New Roman" w:eastAsia="Times New Roman" w:hAnsi="Times New Roman"/>
          <w:sz w:val="18"/>
          <w:szCs w:val="18"/>
          <w:color w:val="auto"/>
        </w:rPr>
      </w:pPr>
    </w:p>
    <w:p>
      <w:pPr>
        <w:ind w:left="740" w:hanging="354"/>
        <w:spacing w:after="0"/>
        <w:tabs>
          <w:tab w:leader="none" w:pos="7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brokers or dealers in securities or currencies or holders that are traders in securities who elect to apply a mark-to-market method of accounting;</w:t>
      </w:r>
    </w:p>
    <w:p>
      <w:pPr>
        <w:spacing w:after="0" w:line="279" w:lineRule="exact"/>
        <w:rPr>
          <w:rFonts w:ascii="Times New Roman" w:cs="Times New Roman" w:eastAsia="Times New Roman" w:hAnsi="Times New Roman"/>
          <w:sz w:val="18"/>
          <w:szCs w:val="18"/>
          <w:color w:val="auto"/>
        </w:rPr>
      </w:pPr>
    </w:p>
    <w:p>
      <w:pPr>
        <w:ind w:left="740" w:hanging="354"/>
        <w:spacing w:after="0"/>
        <w:tabs>
          <w:tab w:leader="none" w:pos="7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investment trusts and regulated investment companies;</w:t>
      </w:r>
    </w:p>
    <w:p>
      <w:pPr>
        <w:spacing w:after="0" w:line="279" w:lineRule="exact"/>
        <w:rPr>
          <w:rFonts w:ascii="Times New Roman" w:cs="Times New Roman" w:eastAsia="Times New Roman" w:hAnsi="Times New Roman"/>
          <w:sz w:val="18"/>
          <w:szCs w:val="18"/>
          <w:color w:val="auto"/>
        </w:rPr>
      </w:pPr>
    </w:p>
    <w:p>
      <w:pPr>
        <w:ind w:left="740" w:hanging="354"/>
        <w:spacing w:after="0"/>
        <w:tabs>
          <w:tab w:leader="none" w:pos="7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organizations, qualified retirement plans, individual retirement accounts, or other tax-deferred accounts;</w:t>
      </w:r>
    </w:p>
    <w:p>
      <w:pPr>
        <w:spacing w:after="0" w:line="279" w:lineRule="exact"/>
        <w:rPr>
          <w:rFonts w:ascii="Times New Roman" w:cs="Times New Roman" w:eastAsia="Times New Roman" w:hAnsi="Times New Roman"/>
          <w:sz w:val="18"/>
          <w:szCs w:val="18"/>
          <w:color w:val="auto"/>
        </w:rPr>
      </w:pPr>
    </w:p>
    <w:p>
      <w:pPr>
        <w:ind w:left="740" w:hanging="354"/>
        <w:spacing w:after="0"/>
        <w:tabs>
          <w:tab w:leader="none" w:pos="7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expatriates or former citizens or long-term residents of the United States;</w:t>
      </w:r>
    </w:p>
    <w:p>
      <w:pPr>
        <w:spacing w:after="0" w:line="279" w:lineRule="exact"/>
        <w:rPr>
          <w:rFonts w:ascii="Times New Roman" w:cs="Times New Roman" w:eastAsia="Times New Roman" w:hAnsi="Times New Roman"/>
          <w:sz w:val="18"/>
          <w:szCs w:val="18"/>
          <w:color w:val="auto"/>
        </w:rPr>
      </w:pPr>
    </w:p>
    <w:p>
      <w:pPr>
        <w:ind w:left="740" w:hanging="354"/>
        <w:spacing w:after="0"/>
        <w:tabs>
          <w:tab w:leader="none" w:pos="7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subchapter S corporations, partnerships or other pass-through entities or investors in such entities;</w:t>
      </w:r>
    </w:p>
    <w:p>
      <w:pPr>
        <w:spacing w:after="0" w:line="279" w:lineRule="exact"/>
        <w:rPr>
          <w:rFonts w:ascii="Times New Roman" w:cs="Times New Roman" w:eastAsia="Times New Roman" w:hAnsi="Times New Roman"/>
          <w:sz w:val="18"/>
          <w:szCs w:val="18"/>
          <w:color w:val="auto"/>
        </w:rPr>
      </w:pPr>
    </w:p>
    <w:p>
      <w:pPr>
        <w:ind w:left="740" w:hanging="354"/>
        <w:spacing w:after="0"/>
        <w:tabs>
          <w:tab w:leader="none" w:pos="7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holder that is not a U.S. Holder;</w:t>
      </w:r>
    </w:p>
    <w:p>
      <w:pPr>
        <w:spacing w:after="0" w:line="279" w:lineRule="exact"/>
        <w:rPr>
          <w:rFonts w:ascii="Times New Roman" w:cs="Times New Roman" w:eastAsia="Times New Roman" w:hAnsi="Times New Roman"/>
          <w:sz w:val="18"/>
          <w:szCs w:val="18"/>
          <w:color w:val="auto"/>
        </w:rPr>
      </w:pPr>
    </w:p>
    <w:p>
      <w:pPr>
        <w:ind w:left="740" w:hanging="354"/>
        <w:spacing w:after="0"/>
        <w:tabs>
          <w:tab w:leader="none" w:pos="7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dealers or traders in securities, commodities or currencies;</w:t>
      </w:r>
    </w:p>
    <w:p>
      <w:pPr>
        <w:spacing w:after="0" w:line="279" w:lineRule="exact"/>
        <w:rPr>
          <w:rFonts w:ascii="Times New Roman" w:cs="Times New Roman" w:eastAsia="Times New Roman" w:hAnsi="Times New Roman"/>
          <w:sz w:val="18"/>
          <w:szCs w:val="18"/>
          <w:color w:val="auto"/>
        </w:rPr>
      </w:pPr>
    </w:p>
    <w:p>
      <w:pPr>
        <w:ind w:left="740" w:hanging="354"/>
        <w:spacing w:after="0"/>
        <w:tabs>
          <w:tab w:leader="none" w:pos="7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grantor trusts;</w:t>
      </w:r>
    </w:p>
    <w:p>
      <w:pPr>
        <w:spacing w:after="0" w:line="279" w:lineRule="exact"/>
        <w:rPr>
          <w:rFonts w:ascii="Times New Roman" w:cs="Times New Roman" w:eastAsia="Times New Roman" w:hAnsi="Times New Roman"/>
          <w:sz w:val="18"/>
          <w:szCs w:val="18"/>
          <w:color w:val="auto"/>
        </w:rPr>
      </w:pPr>
    </w:p>
    <w:p>
      <w:pPr>
        <w:ind w:left="740" w:hanging="354"/>
        <w:spacing w:after="0"/>
        <w:tabs>
          <w:tab w:leader="none" w:pos="7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subject to the alternative minimum tax;</w:t>
      </w:r>
    </w:p>
    <w:p>
      <w:pPr>
        <w:spacing w:after="0" w:line="279" w:lineRule="exact"/>
        <w:rPr>
          <w:rFonts w:ascii="Times New Roman" w:cs="Times New Roman" w:eastAsia="Times New Roman" w:hAnsi="Times New Roman"/>
          <w:sz w:val="18"/>
          <w:szCs w:val="18"/>
          <w:color w:val="auto"/>
        </w:rPr>
      </w:pPr>
    </w:p>
    <w:p>
      <w:pPr>
        <w:ind w:left="740" w:hanging="354"/>
        <w:spacing w:after="0"/>
        <w:tabs>
          <w:tab w:leader="none" w:pos="7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persons whose “functional currency” is not the U.S. dollar;</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6" w:name="page17"/>
    <w:bookmarkEnd w:id="16"/>
    <w:p>
      <w:pPr>
        <w:ind w:left="740" w:right="40" w:hanging="354"/>
        <w:spacing w:after="0" w:line="282" w:lineRule="auto"/>
        <w:tabs>
          <w:tab w:leader="none" w:pos="7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received shares of Ordinary Shares through the issuance of restricted stock under an equity incentive plan or through a tax-qualified retirement plan or otherwise as compensation;</w:t>
      </w:r>
    </w:p>
    <w:p>
      <w:pPr>
        <w:spacing w:after="0" w:line="215" w:lineRule="exact"/>
        <w:rPr>
          <w:rFonts w:ascii="Times New Roman" w:cs="Times New Roman" w:eastAsia="Times New Roman" w:hAnsi="Times New Roman"/>
          <w:sz w:val="18"/>
          <w:szCs w:val="18"/>
          <w:color w:val="auto"/>
        </w:rPr>
      </w:pPr>
    </w:p>
    <w:p>
      <w:pPr>
        <w:ind w:left="740" w:hanging="354"/>
        <w:spacing w:after="0"/>
        <w:tabs>
          <w:tab w:leader="none" w:pos="7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own (directly or through attribution) 5% or more (by vote or value) of the issued shares of the Company;</w:t>
      </w:r>
    </w:p>
    <w:p>
      <w:pPr>
        <w:spacing w:after="0" w:line="279" w:lineRule="exact"/>
        <w:rPr>
          <w:rFonts w:ascii="Times New Roman" w:cs="Times New Roman" w:eastAsia="Times New Roman" w:hAnsi="Times New Roman"/>
          <w:sz w:val="18"/>
          <w:szCs w:val="18"/>
          <w:color w:val="auto"/>
        </w:rPr>
      </w:pPr>
    </w:p>
    <w:p>
      <w:pPr>
        <w:ind w:left="740" w:hanging="354"/>
        <w:spacing w:after="0"/>
        <w:tabs>
          <w:tab w:leader="none" w:pos="7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officers or directors;</w:t>
      </w:r>
    </w:p>
    <w:p>
      <w:pPr>
        <w:spacing w:after="0" w:line="279" w:lineRule="exact"/>
        <w:rPr>
          <w:rFonts w:ascii="Times New Roman" w:cs="Times New Roman" w:eastAsia="Times New Roman" w:hAnsi="Times New Roman"/>
          <w:sz w:val="18"/>
          <w:szCs w:val="18"/>
          <w:color w:val="auto"/>
        </w:rPr>
      </w:pPr>
    </w:p>
    <w:p>
      <w:pPr>
        <w:ind w:left="740" w:hanging="354"/>
        <w:spacing w:after="0"/>
        <w:tabs>
          <w:tab w:leader="none" w:pos="7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hold Warrants or other rights to acquire Ordinary Shares; or</w:t>
      </w:r>
    </w:p>
    <w:p>
      <w:pPr>
        <w:spacing w:after="0" w:line="279" w:lineRule="exact"/>
        <w:rPr>
          <w:rFonts w:ascii="Times New Roman" w:cs="Times New Roman" w:eastAsia="Times New Roman" w:hAnsi="Times New Roman"/>
          <w:sz w:val="18"/>
          <w:szCs w:val="18"/>
          <w:color w:val="auto"/>
        </w:rPr>
      </w:pPr>
    </w:p>
    <w:p>
      <w:pPr>
        <w:ind w:left="740" w:right="20" w:hanging="354"/>
        <w:spacing w:after="0" w:line="282" w:lineRule="auto"/>
        <w:tabs>
          <w:tab w:leader="none" w:pos="7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holding Ordinary Shares as a position in a “straddle,” as part of a “synthetic security” or “hedge,” as part of a “conversion transaction,” or other integrated investment or risk reduction transaction;</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used in this prospectus, the term “U.S. Holder” means a beneficial owner of Ordinary Shares for U.S. federal income tax purposes:</w:t>
      </w:r>
    </w:p>
    <w:p>
      <w:pPr>
        <w:spacing w:after="0" w:line="252" w:lineRule="exact"/>
        <w:rPr>
          <w:sz w:val="20"/>
          <w:szCs w:val="20"/>
          <w:color w:val="auto"/>
        </w:rPr>
      </w:pPr>
    </w:p>
    <w:p>
      <w:pPr>
        <w:ind w:left="740" w:hanging="354"/>
        <w:spacing w:after="0"/>
        <w:tabs>
          <w:tab w:leader="none" w:pos="7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279" w:lineRule="exact"/>
        <w:rPr>
          <w:rFonts w:ascii="Times New Roman" w:cs="Times New Roman" w:eastAsia="Times New Roman" w:hAnsi="Times New Roman"/>
          <w:sz w:val="18"/>
          <w:szCs w:val="18"/>
          <w:color w:val="auto"/>
        </w:rPr>
      </w:pPr>
    </w:p>
    <w:p>
      <w:pPr>
        <w:ind w:left="740" w:right="20" w:hanging="354"/>
        <w:spacing w:after="0" w:line="282" w:lineRule="auto"/>
        <w:tabs>
          <w:tab w:leader="none" w:pos="7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that is classified as a corporation for U.S. federal income tax purposes) that is created or organized in or under the laws of the United States or any State thereof or the District of Columbia;</w:t>
      </w:r>
    </w:p>
    <w:p>
      <w:pPr>
        <w:spacing w:after="0" w:line="215" w:lineRule="exact"/>
        <w:rPr>
          <w:rFonts w:ascii="Times New Roman" w:cs="Times New Roman" w:eastAsia="Times New Roman" w:hAnsi="Times New Roman"/>
          <w:sz w:val="18"/>
          <w:szCs w:val="18"/>
          <w:color w:val="auto"/>
        </w:rPr>
      </w:pPr>
    </w:p>
    <w:p>
      <w:pPr>
        <w:ind w:left="740" w:hanging="354"/>
        <w:spacing w:after="0"/>
        <w:tabs>
          <w:tab w:leader="none" w:pos="7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 regardless of its source; or</w:t>
      </w:r>
    </w:p>
    <w:p>
      <w:pPr>
        <w:spacing w:after="0" w:line="279" w:lineRule="exact"/>
        <w:rPr>
          <w:rFonts w:ascii="Times New Roman" w:cs="Times New Roman" w:eastAsia="Times New Roman" w:hAnsi="Times New Roman"/>
          <w:sz w:val="18"/>
          <w:szCs w:val="18"/>
          <w:color w:val="auto"/>
        </w:rPr>
      </w:pPr>
    </w:p>
    <w:p>
      <w:pPr>
        <w:jc w:val="both"/>
        <w:ind w:left="740" w:right="40" w:hanging="354"/>
        <w:spacing w:after="0" w:line="266" w:lineRule="auto"/>
        <w:tabs>
          <w:tab w:leader="none" w:pos="7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 the administration of which is subject to the primary supervision of a U.S. court and which has one or more “United States persons” (within the meaning of Section 7701(a)(30) of the Code) who have the authority to control all substantial decisions of the trust or (ii) that has made a valid election under applicable Treasury Regulations to be treated as a United States person.</w:t>
      </w:r>
    </w:p>
    <w:p>
      <w:pPr>
        <w:spacing w:after="0" w:line="20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If a partnership, including for this purpose any entity or arrangement that is treated as a partnership for U.S. federal income tax purposes, holds Ordinary Shares, the U.S. federal income tax treatment of a partner in such partnership will generally depend on the status of the partner and the activities of the partnership. This discussion does not address the tax consequences to any such partner or partnership. A holder that is a partnership and the partners in such partnership should consult their own tax advisors with regard to the U.S. federal income tax consequences of the ownership and disposition of Ordinary Shares.</w:t>
      </w:r>
    </w:p>
    <w:p>
      <w:pPr>
        <w:spacing w:after="0" w:line="17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b w:val="1"/>
          <w:bCs w:val="1"/>
          <w:color w:val="auto"/>
        </w:rPr>
        <w:t>THIS SUMMARY DOES NOT PURPORT TO BE A COMPREHENSIVE ANALYSIS OR DESCRIPTION OF ALL POTENTIAL U.S. FEDERAL INCOME TAX CONSEQUENCES OF THE OWNERSHIP AND DISPOSITION OF ORDINARY SHARES. IN ADDITION, THE U.S. FEDERAL INCOME TAX TREATMENT OF THE BENEFICIAL OWNERS OF ORDINARY SHARES MAY BE AFFECTED BY MATTERS NOT DISCUSSED HEREIN AND DEPENDS IN SOME INSTANCES ON DETERMINATIONS OF FACT AND INTERPRETATIONS OF COMPLEX PROVISIONS OF U.S. FEDERAL INCOME TAX LAW FOR WHICH NO CLEAR PRECEDENT OR AUTHORITY MAY BE AVAILABLE. HOLDERS SHOULD CONSULT WITH THEIR TAX ADVISORS REGARDING THE PARTICULAR TAX CONSEQUENCES TO THEM OF THE OWNERSHIP AND DISPOSITION OF ORDINARY SHARES, INCLUDING THE APPLICABILITY AND EFFECTS OF U.S. FEDERAL, STATE, LOCAL, AND OTHER TAX LAWS.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Federal Income Tax Treatment of PubCo</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 corporation is generally considered for U.S. federal income tax purposes to be a tax resident in the jurisdiction of its organization and incorporation. Accordingly, under generally applicable U.S. federal income tax rules, PubCo, which is incorporated under the laws of the Cayman Islands, would be classified as a non-U.S. corporation (and, therefore, not a U.S. tax resident) for U.S. federal income tax purposes. Section 7874 of the Code provides an exception to this general rule (more fully discussed below), under which a non-U.S. incorporated entity may, in certain circumstances, be treated as a U.S. corporation for U.S. federal income tax purposes. These rules are complex and there is limited guidance regarding their application.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7" w:name="page18"/>
    <w:bookmarkEnd w:id="17"/>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Under Section 7874 of the Code, a corporation created or organized outside the United States (i.e., a non-U.S. corporation) will nevertheless be treated as a U.S. corporation for U.S. federal income tax purposes (and, therefore, as a U.S. tax resident subject to U.S. federal income tax on its worldwide income) if each of the following three conditions are met: (i) the non-U.S. corporation, directly or indirectly, acquires substantially all of the properties held directly or indirectly by a U.S. corporation (including through the acquisition of all of the outstanding shares of the U.S. corporation); (ii) the non-U.S. corporation’s “expanded affiliate group” does not have “substantial business activities” in the non-U.S. corporation’s country of organization or incorporation and (iii) after the acquisition, the former shareholders of the acquired U.S. corporation hold at least 80% (by either vote or value) of the shares of the non-U.S. acquiring corporation by reason of holding shares in the U.S. acquired corporation (taking into account the receipt of the non-U.S. corporation’s shares in exchange for the U.S. corporation’s shares) as determined for purposes of Section 7874 (this test is referred to as the “ownership test”). The ownership test in clause (iii) above is modified with respect to potential “third-country transactions” such that the ownership test will be met if, after the acquisition, the former shareholders of the acquired U.S. corporation hold at least 60% (by either vote or value) of the shares of the non-U.S. acquiring corporation by reason of holding shares in the U.S. acquired corporation (as modified, the “modified ownership test”). Because the Business Combination was a potential third-country transaction, the potential Section 7874 treatment of PubCo was determined using the modified ownership test.</w:t>
      </w:r>
    </w:p>
    <w:p>
      <w:pPr>
        <w:spacing w:after="0" w:line="19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For purposes of Section 7874 of the Code, the first two conditions described above were expected be met with respect to the Business Combination because PubCo acquired indirectly all of the assets of RFAC through the SPAC Merger, and PubCo, including its “expanded affiliate group,” was not expected to satisfy the substantial business activities test upon consummation of the Business Combination. As a result, whether Section 7874 applied to cause PubCo to be treated as a U.S. corporation for U.S. federal income tax purposes following the Business Combination potentially depended on the satisfaction of the modified ownership test.</w:t>
      </w:r>
    </w:p>
    <w:p>
      <w:pPr>
        <w:spacing w:after="0" w:line="183"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Based upon the terms of the Business Combination, the rules for determining share ownership under Section 7874 of the Code and the Treasury Regulations promulgated thereunder, and certain factual assumptions, the Section 7874 ownership percentage of the RFAC stockholders in PubCo is expected to have been less than 60%. Accordingly, PubCo is not expected to be treated as a U.S. corporation for U.S. federal income tax purposes under Section 7874 of the Code. However, the calculations for determining share ownership for purposes of the ownership test under Section 7874 of the Code are complex, subject to detailed rules and regulations (the application of which is uncertain in various respects and could be impacted by changes to applicable rules and regulations under U.S. federal income tax laws, with possible retroactive effect), and subject to certain factual uncertainties. Furthermore, for purposes of determining the ownership percentage of RFAC stockholders for purposes of Section 7874, among other adjustments required to be taken into account, RFAC stockholders will be deemed to own an amount of PubCo Ordinary Shares in respect to certain redemptions by RFAC prior to the SPAC Merger. Accordingly, given the inherently factual nature of the analysis, neither RFAC nor PubCo has sought a legal opinion from counsel in respect of the potential applicability of Section 7874 to the Business Combination, and there can be no assurance that the IRS would not assert a contrary position to those described above or that such an assertion would not be sustained by a court.</w:t>
      </w:r>
    </w:p>
    <w:p>
      <w:pPr>
        <w:spacing w:after="0" w:line="1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If PubCo were to be treated as a U.S. corporation for U.S. federal income tax purposes, it could be subject to substantial liability for additional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taxes, and the gross amount of any dividend payments to its non-U.S. investors could be subject to U.S. withholding tax.</w:t>
      </w:r>
    </w:p>
    <w:p>
      <w:pPr>
        <w:spacing w:after="0" w:line="207"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remainder of this discussion assumes that PubCo will not be treated as a U.S. corporation for U.S. federal income tax purposes under Section 7874 of the Code.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Federal Income Tax Consequences of Ownership and Disposition of Ordinary Shares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Distribution on Ordinary Shares</w:t>
      </w:r>
    </w:p>
    <w:p>
      <w:pPr>
        <w:spacing w:after="0" w:line="225"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 xml:space="preserve">Subject to the PFIC rules discussed below “— </w:t>
      </w:r>
      <w:r>
        <w:rPr>
          <w:rFonts w:ascii="Times New Roman" w:cs="Times New Roman" w:eastAsia="Times New Roman" w:hAnsi="Times New Roman"/>
          <w:sz w:val="18"/>
          <w:szCs w:val="18"/>
          <w:i w:val="1"/>
          <w:iCs w:val="1"/>
          <w:color w:val="auto"/>
        </w:rPr>
        <w:t>Passive Foreign Investment Company Status</w:t>
      </w:r>
      <w:r>
        <w:rPr>
          <w:rFonts w:ascii="Times New Roman" w:cs="Times New Roman" w:eastAsia="Times New Roman" w:hAnsi="Times New Roman"/>
          <w:sz w:val="18"/>
          <w:szCs w:val="18"/>
          <w:color w:val="auto"/>
        </w:rPr>
        <w:t>,” a U.S. Holder generally will be required to include in gross income any distribution of cash or property paid on Ordinary Shares that is treated as a dividend for U.S. federal income tax purposes. A distribution on such shares generally will be treated as a dividend for U.S. federal income tax purposes to the extent the distribution is paid out of our current or accumulated earnings and profits (as determined under U.S. federal income tax principles). Such dividends paid by us will be taxable to a corporate U.S. Holder at regular rates and will not be eligible for the dividends-received deduction generally allowed to domestic corporations in respect of dividends received from other domestic corporations.</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 w:name="page19"/>
    <w:bookmarkEnd w:id="18"/>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 xml:space="preserve">Dividends received by non-corporate U.S. Holders from a “qualified foreign corporation” may be eligible for reduced rates of taxation, provided that certain holding period requirements and other conditions are satisfied. For these purposes, a non-U.S. corporation will be treated as a qualified foreign corporation with respect to dividends paid by that corporation on shares that are readily tradable on an established securities market in the United States. The Treasury guidance indicates that shares listed on the Nasdaq will be considered readily tradable on an established securities market in the United States. Although the Ordinary Shares are currently listed on the Nasdaq, there can be no assurance that the Ordinary Shares will be considered readily tradable on an established securities market in future years. Non-corporate U.S. Holders that do not meet a minimum holding period requirement or that elect to treat the dividend income as “investment income” pursuant to Section 163(d)(4) of the Code (dealing with the deduction for investment interest expense) will not be eligible for the reduced rates of taxation regardless of our status as a qualified foreign corporation. In addition, the rate reduction will not apply to dividends if the recipient of a dividend is obligated to make related payments with respect to positions in substantially similar or related property. This disallowance applies even if the minimum holding period has been met. Finally, we will not constitute a qualified foreign corporation for purposes of these rules if we are a PFIC for the taxable year in which we pay a dividend or for the preceding taxable year. See the discussion below under “— </w:t>
      </w:r>
      <w:r>
        <w:rPr>
          <w:rFonts w:ascii="Times New Roman" w:cs="Times New Roman" w:eastAsia="Times New Roman" w:hAnsi="Times New Roman"/>
          <w:sz w:val="18"/>
          <w:szCs w:val="18"/>
          <w:i w:val="1"/>
          <w:iCs w:val="1"/>
          <w:color w:val="auto"/>
        </w:rPr>
        <w:t>Passive Foreign Investment Company Status</w:t>
      </w:r>
      <w:r>
        <w:rPr>
          <w:rFonts w:ascii="Times New Roman" w:cs="Times New Roman" w:eastAsia="Times New Roman" w:hAnsi="Times New Roman"/>
          <w:sz w:val="18"/>
          <w:szCs w:val="18"/>
          <w:color w:val="auto"/>
        </w:rPr>
        <w:t>.”</w:t>
      </w:r>
    </w:p>
    <w:p>
      <w:pPr>
        <w:spacing w:after="0" w:line="19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amount of any dividend paid in foreign currency will be the U.S. dollar value of the foreign currency distributed by us, calculated by reference to the spot exchange rate in effect on the date the dividend is includible in the U.S. Holder’s income, regardless of whether the payment is in fact converted into U.S. dollars on the date of receipt. Generally, a U.S. Holder should not recognize any foreign currency gain or loss if the foreign currency is converted into U.S. dollars on the date the payment is received. However, any gain or loss resulting from currency exchange fluctuations during the period from the date the U.S. Holder includes the dividend payment in income to the date such U.S. Holder actually converts the payment into U.S. dollars will be treated as ordinary income or loss.</w:t>
      </w:r>
    </w:p>
    <w:p>
      <w:pPr>
        <w:spacing w:after="0" w:line="18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To the extent that the amount of any distribution made by us on the Ordinary Shares exceeds our current and accumulated earnings and profits for a taxable year (as determined under U.S. federal income tax principles), the distribution will first be treated as a tax-free return of capital, causing a reduction in the adjusted basis of the U.S. Holder’s Ordinary Shares, and to the extent the amount of the distribution exceeds the U.S. Holder’s tax basis, the excess will be taxed as capital gain recognized on a sale or exchange as described below under “— </w:t>
      </w:r>
      <w:r>
        <w:rPr>
          <w:rFonts w:ascii="Times New Roman" w:cs="Times New Roman" w:eastAsia="Times New Roman" w:hAnsi="Times New Roman"/>
          <w:sz w:val="18"/>
          <w:szCs w:val="18"/>
          <w:i w:val="1"/>
          <w:iCs w:val="1"/>
          <w:color w:val="auto"/>
        </w:rPr>
        <w:t>Sale, Exchange, Redemption or Other Taxable Disposition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Ordinary Shares</w:t>
      </w:r>
      <w:r>
        <w:rPr>
          <w:rFonts w:ascii="Times New Roman" w:cs="Times New Roman" w:eastAsia="Times New Roman" w:hAnsi="Times New Roman"/>
          <w:sz w:val="18"/>
          <w:szCs w:val="18"/>
          <w:color w:val="auto"/>
        </w:rPr>
        <w:t>.” However, we may not calculate earnings and profits in accordance with U.S. federal income tax principles. In such event, a U.S. Holder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should expect to generally treat distributions we make as dividends.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 Exchange, Redemption or Other Taxable Disposition of Ordinary Shares</w:t>
      </w:r>
    </w:p>
    <w:p>
      <w:pPr>
        <w:spacing w:after="0" w:line="22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Subject to the discussion below under “</w:t>
      </w:r>
      <w:r>
        <w:rPr>
          <w:rFonts w:ascii="Times New Roman" w:cs="Times New Roman" w:eastAsia="Times New Roman" w:hAnsi="Times New Roman"/>
          <w:sz w:val="18"/>
          <w:szCs w:val="18"/>
          <w:i w:val="1"/>
          <w:iCs w:val="1"/>
          <w:color w:val="auto"/>
        </w:rPr>
        <w:t>— Passive Foreign Investment Company Status</w:t>
      </w:r>
      <w:r>
        <w:rPr>
          <w:rFonts w:ascii="Times New Roman" w:cs="Times New Roman" w:eastAsia="Times New Roman" w:hAnsi="Times New Roman"/>
          <w:sz w:val="18"/>
          <w:szCs w:val="18"/>
          <w:color w:val="auto"/>
        </w:rPr>
        <w:t>,” a U.S. Holder will generally recognize gain or loss on any sale, exchange, or other taxable disposition of Ordinary Shares in an amount equal to the difference between the amount realized on the disposition and such U.S. Holder’s adjusted tax basis in such Ordinary Shares. Any gain or loss recognized by a U.S. Holder on a taxable disposition of Ordinary Shares will generally be capital gain or loss and will be long-term capital gain or loss if the holder’s holding period in the Ordinary Shares exceeds one year at the time of the disposition. Preferential tax rates may apply to long-term capital gains of non-corporate U.S. Holders. The deductibility of capital losses is subject to limitations. Any gain or loss recognized by a U.S. Holder on the sale or exchange of Ordinary Shares will generally be treated as U.S. source gain or loss.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Passive Foreign Investment Company Status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Certain adverse U.S. federal income tax consequences could apply to a U.S. Holder if we are treated as a PFIC for any taxable year during which U.S. Holders hold our securities. A foreign (i.e., non-U.S.) corporation will be classified as a PFIC for U.S. federal income tax purposes if at least 75% of its gross income in a taxable year, including its pro rata share of the gross income of any entity in which it is considered to own at least 25% of the interest by value, is passive income. Alternatively, a foreign corporation will be a PFIC if at least 50% of its assets in a taxable year, ordinarily determined based on fair market value and averaged quarterly over the year, including its pro rata share of the assets of any entity in which it is considered to own at least 25% of the interest by value, are held for the production of, or produce, passive income. Passive income generally includes dividends, interest, rents and royalties (other than rents or royalties derived from the active conduct of a trade or business) and gains from the disposition of passive assets.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 w:name="page20"/>
    <w:bookmarkEnd w:id="19"/>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determination of whether we are a PFIC is a fact-intensive determination made on an annual basis applying principles and methodologies that in some circumstances are unclear and subject to varying interpretation. Under the income test described above, our status as a PFIC depends on the composition of our income which will depend on the transactions we enter into in the future and our corporate structure. The composition of our income and assets is also affected by the spending of the cash we raise in any offering, including this offering. We do not currently expect to be a PFIC for U.S. federal income tax purposes, but this conclusion is a factual determination made annually and, thus, is subject to change. Our U.S. counsel expresses no opinion with respect to our PFIC status for any taxable year. We urge U.S. Holders to consult their own tax advisors regarding the possible application of the PFIC rules in light of their individual circumstances.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Information Reporting and Backup Withholding</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Certain U.S. Holders are required to report information to the Internal Revenue Service relating to an interest in “specified foreign financial assets,” including shares issued by a non-United States corporation, for any year in which the aggregate value of all specified foreign financial assets exceeds $50,000 (or a higher dollar amount prescribed by the Internal Revenue Service), subject to certain exceptions (including an exception for shares held in custodial accounts maintained with a U.S. financial institution). These rules also impose penalties if a U.S. Holder is required to submit such information to the Internal Revenue Service and fails to do so.</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addition, dividend payments with respect to our Ordinary Shares and proceeds from the sale, exchange or redemption of our Ordinary Shares may be subject to additional information reporting to the IRS and possible U.S. backup withholding. Backup withholding will not apply, however, to a U.S. Holder who furnishes a correct taxpayer identification number and makes any other required certification on IRS Form W-9 or who is otherwise exempt from backup withholding. U.S. Holders who are required to establish their exempt status generally must provide such certification on IRS Form W-9. U.S. Holders are urged to consult their tax advisors regarding the application of the U.S. information reporting and backup withholding rules.</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Backup withholding is not an additional tax. Amounts withheld as backup withholding may be credited against your U.S. federal income tax liability, and you may obtain a refund of any excess amounts withheld under the backup withholding rules by filing the appropriate claim for refund with the IRS and furnishing any required information. We do not intend to withhold taxes for individual shareholders. However, transactions effected through certain brokers or other intermediaries may be subject to withholding taxes (including backup withholding), and such brokers or intermediaries may be required by law to withhold such taxes.</w:t>
      </w:r>
    </w:p>
    <w:p>
      <w:pPr>
        <w:spacing w:after="0" w:line="179"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color w:val="auto"/>
        </w:rPr>
        <w:t>THE PRECEDING DISCUSSION OF U.S. FEDERAL TAX CONSIDERATIONS IS FOR GENERAL INFORMATION PURPOSES ONLY. IT IS NOT TAX ADVICE. EACH PROSPECTIVE INVESTOR SHOULD CONSULT ITS OWN TAX ADVISOR REGARDING THE PARTICULAR U.S. FEDERAL, STATE, LOCAL AND FOREIGN TAX CONSEQUENCES OF PURCHASING, HOLDING AND DISPOSING OF OUR ORDINARY SHARES, INCLUDING THE CONSEQUENCES OF ANY PROPOSED CHANGE IN APPLICABLE LAWS.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SECURITIES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GCL Global Holdings Ltd is a Cayman Islands company incorporated with limited liability and our affairs are governed by the provisions of its Amended and Restated Memorandum and Articles of Association (the “Company Charter”), as amended and restated from time to time, and by the provisions of applicable Cayman Islands law, including the Companies Act and the common law of the Cayman Islands.</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company registration number in the Cayman Islands is 403942. As provided in the Company Charter, subject to Cayman Islands law, we have full power and authority to carry out any object not prohibited by the laws of the Cayman Islands.</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following description summarizes certain terms of our shares as set out more particularly in the of the Company Charter. Because it is only a summary, it may not contain all the information that is important to you. We urge you to read the applicable provisions of Cayman Islands law and the Company Charter carefully and in their entirety because they describe your rights as a holder of the Company’s Ordinary Shares.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Authorized Shares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authorized shares of the Company consist of US$50,000 divided into 500,000,000 Shares of a par value of US$0.0001 each.</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Register of Members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Under the Companies Act, the Company’s shares are deemed to be issued when the name of the shareholder is entered in our register of members. Our register of members will be maintained by our transfer agent Continental Stock Transfer &amp; Trust Company (“Continental Stock”). If (a) information that is required to be entered in the register of members is omitted from the register or is inaccurately entered in the register, or (b) there is unreasonable delay in entering information in the register, without sufficient cause, a shareholder of the Company, or any person who is aggrieved by the omission, inaccuracy or delay, may apply to the Cayman Islands Court for an order that the register be rectified, and the Court may either refuse the application or order the rectification of the register, and may direct the Company to pay all costs of the application and any damages the applicant may have sustained.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Ordinary Shares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summarizes the rights of holders of our Ordinary Shares:</w:t>
      </w:r>
    </w:p>
    <w:p>
      <w:pPr>
        <w:spacing w:after="0" w:line="252" w:lineRule="exact"/>
        <w:rPr>
          <w:sz w:val="20"/>
          <w:szCs w:val="20"/>
          <w:color w:val="auto"/>
        </w:rPr>
      </w:pPr>
    </w:p>
    <w:p>
      <w:pPr>
        <w:ind w:left="740" w:right="40" w:hanging="354"/>
        <w:spacing w:after="0" w:line="282" w:lineRule="auto"/>
        <w:tabs>
          <w:tab w:leader="none" w:pos="7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holder of Ordinary Shares is entitled to one vote per share on all matters to be voted on by shareholders generally, including the appointment of directors;</w:t>
      </w:r>
    </w:p>
    <w:p>
      <w:pPr>
        <w:spacing w:after="0" w:line="215" w:lineRule="exact"/>
        <w:rPr>
          <w:rFonts w:ascii="Times New Roman" w:cs="Times New Roman" w:eastAsia="Times New Roman" w:hAnsi="Times New Roman"/>
          <w:sz w:val="18"/>
          <w:szCs w:val="18"/>
          <w:color w:val="auto"/>
        </w:rPr>
      </w:pPr>
    </w:p>
    <w:p>
      <w:pPr>
        <w:jc w:val="both"/>
        <w:ind w:left="740" w:right="20" w:hanging="354"/>
        <w:spacing w:after="0" w:line="266" w:lineRule="auto"/>
        <w:tabs>
          <w:tab w:leader="none" w:pos="7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our Ordinary Shares are entitled to dividends and other distributions, as may be declared from time to time by our board of directors out of funds legally available for that purpose, if any, and pursuant to the Company Charter, all dividends unclaimed for three years from the date the dividend became due for payment shall be forfeited and shall revert to the Company; and</w:t>
      </w:r>
    </w:p>
    <w:p>
      <w:pPr>
        <w:spacing w:after="0" w:line="229" w:lineRule="exact"/>
        <w:rPr>
          <w:rFonts w:ascii="Times New Roman" w:cs="Times New Roman" w:eastAsia="Times New Roman" w:hAnsi="Times New Roman"/>
          <w:sz w:val="18"/>
          <w:szCs w:val="18"/>
          <w:color w:val="auto"/>
        </w:rPr>
      </w:pPr>
    </w:p>
    <w:p>
      <w:pPr>
        <w:ind w:left="740" w:right="40" w:hanging="354"/>
        <w:spacing w:after="0" w:line="282" w:lineRule="auto"/>
        <w:tabs>
          <w:tab w:leader="none" w:pos="7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our liquidation, dissolution or winding up, the holders of Ordinary Shares will be entitled to share ratably, in the distribution of all of our assets remaining available for distribution after satisfaction of all our liabilities.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Preference Shares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rights, preferences and privileges of Ordinary Shares are subject to, and may be adversely affected by, the rights of the holders of any other class of shares that we may designate in the future having such rights as specified by the board of directors pursuant to the resolution of directors approving the creation of such class of shares. The directors shall not require any approval of the shareholders or any class of shareholders in respect of the creation or issuance of preference shares. However, any related amendment to the Company Charter will require approval of our shareholders by way of special resolution (which requires a majority of not less than two-thirds).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Preemption</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Holders of Ordinary Shares do not have any preemptive or other rights to subscribe for additional shares pursuant to the Company Charter.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Shareholders’ Meetings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summarizes certain relevant provisions of Cayman Islands law and the Company Charter in relation to our shareholders’ meetings:</w:t>
      </w:r>
    </w:p>
    <w:p>
      <w:pPr>
        <w:spacing w:after="0" w:line="252" w:lineRule="exact"/>
        <w:rPr>
          <w:sz w:val="20"/>
          <w:szCs w:val="20"/>
          <w:color w:val="auto"/>
        </w:rPr>
      </w:pPr>
    </w:p>
    <w:p>
      <w:pPr>
        <w:ind w:left="740" w:right="40" w:hanging="354"/>
        <w:spacing w:after="0" w:line="282" w:lineRule="auto"/>
        <w:tabs>
          <w:tab w:leader="none" w:pos="7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of the Company may convene meetings of shareholders at such times and in such manner and places within or outside the Cayman Islands as the directors consider necessary or desirable. There is no requirement for the Company to hold annual general meetings;</w:t>
      </w:r>
    </w:p>
    <w:p>
      <w:pPr>
        <w:spacing w:after="0" w:line="215" w:lineRule="exact"/>
        <w:rPr>
          <w:rFonts w:ascii="Times New Roman" w:cs="Times New Roman" w:eastAsia="Times New Roman" w:hAnsi="Times New Roman"/>
          <w:sz w:val="18"/>
          <w:szCs w:val="18"/>
          <w:color w:val="auto"/>
        </w:rPr>
      </w:pPr>
    </w:p>
    <w:p>
      <w:pPr>
        <w:ind w:left="740" w:right="40" w:hanging="354"/>
        <w:spacing w:after="0" w:line="282" w:lineRule="auto"/>
        <w:tabs>
          <w:tab w:leader="none" w:pos="7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shareholders holding not less than twenty percent (20%) in par value of the issued shares which as at that date carry the right to vote at general meetings shall have the ability to requisition a general meeting;</w:t>
      </w:r>
    </w:p>
    <w:p>
      <w:pPr>
        <w:spacing w:after="0" w:line="215" w:lineRule="exact"/>
        <w:rPr>
          <w:rFonts w:ascii="Times New Roman" w:cs="Times New Roman" w:eastAsia="Times New Roman" w:hAnsi="Times New Roman"/>
          <w:sz w:val="18"/>
          <w:szCs w:val="18"/>
          <w:color w:val="auto"/>
        </w:rPr>
      </w:pPr>
    </w:p>
    <w:p>
      <w:pPr>
        <w:ind w:left="740" w:hanging="354"/>
        <w:spacing w:after="0"/>
        <w:tabs>
          <w:tab w:leader="none" w:pos="7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convening a meeting of shareholders must give not less than ten days’ clear notice of the proposed meeting;</w:t>
      </w:r>
    </w:p>
    <w:p>
      <w:pPr>
        <w:spacing w:after="0" w:line="279" w:lineRule="exact"/>
        <w:rPr>
          <w:rFonts w:ascii="Times New Roman" w:cs="Times New Roman" w:eastAsia="Times New Roman" w:hAnsi="Times New Roman"/>
          <w:sz w:val="18"/>
          <w:szCs w:val="18"/>
          <w:color w:val="auto"/>
        </w:rPr>
      </w:pPr>
    </w:p>
    <w:p>
      <w:pPr>
        <w:ind w:left="740" w:hanging="354"/>
        <w:spacing w:after="0"/>
        <w:tabs>
          <w:tab w:leader="none" w:pos="7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shareholder may be represented at a meeting of shareholders by a proxy who may speak and vote on behalf of the shareholder;</w:t>
      </w:r>
    </w:p>
    <w:p>
      <w:pPr>
        <w:spacing w:after="0" w:line="279" w:lineRule="exact"/>
        <w:rPr>
          <w:rFonts w:ascii="Times New Roman" w:cs="Times New Roman" w:eastAsia="Times New Roman" w:hAnsi="Times New Roman"/>
          <w:sz w:val="18"/>
          <w:szCs w:val="18"/>
          <w:color w:val="auto"/>
        </w:rPr>
      </w:pPr>
    </w:p>
    <w:p>
      <w:pPr>
        <w:jc w:val="both"/>
        <w:ind w:left="740" w:right="20" w:hanging="354"/>
        <w:spacing w:after="0" w:line="266" w:lineRule="auto"/>
        <w:tabs>
          <w:tab w:leader="none" w:pos="7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business may be transacted at a general meeting unless a quorum is present. A quorum is those shareholders present in person or by proxy or by a duly authorised representative holding shares entitled to vote on the business to be transacted which represent not less than one-third of all issued shares, unless the Company has only one shareholder in which case that shareholder alone constitutes a quorum;</w:t>
      </w:r>
    </w:p>
    <w:p>
      <w:pPr>
        <w:spacing w:after="0" w:line="229" w:lineRule="exact"/>
        <w:rPr>
          <w:rFonts w:ascii="Times New Roman" w:cs="Times New Roman" w:eastAsia="Times New Roman" w:hAnsi="Times New Roman"/>
          <w:sz w:val="18"/>
          <w:szCs w:val="18"/>
          <w:color w:val="auto"/>
        </w:rPr>
      </w:pPr>
    </w:p>
    <w:p>
      <w:pPr>
        <w:jc w:val="both"/>
        <w:ind w:left="740" w:right="20" w:hanging="354"/>
        <w:spacing w:after="0" w:line="266" w:lineRule="auto"/>
        <w:tabs>
          <w:tab w:leader="none" w:pos="7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ordinary resolution of shareholders is passed by a simple majority of such shareholders as, being entitled to do so, vote in person or, where proxies are allowed, by proxy at a general meeting of the Company and where a poll is taken regard shall be had in computing a majority to the number of votes to which each shareholder is entitled by the Company Charter;</w:t>
      </w:r>
    </w:p>
    <w:p>
      <w:pPr>
        <w:spacing w:after="0" w:line="229" w:lineRule="exact"/>
        <w:rPr>
          <w:rFonts w:ascii="Times New Roman" w:cs="Times New Roman" w:eastAsia="Times New Roman" w:hAnsi="Times New Roman"/>
          <w:sz w:val="18"/>
          <w:szCs w:val="18"/>
          <w:color w:val="auto"/>
        </w:rPr>
      </w:pPr>
    </w:p>
    <w:p>
      <w:pPr>
        <w:jc w:val="both"/>
        <w:ind w:left="740" w:right="20" w:hanging="354"/>
        <w:spacing w:after="0" w:line="261" w:lineRule="auto"/>
        <w:tabs>
          <w:tab w:leader="none" w:pos="7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special resolution of shareholders is passed by a majority of not less than two-thirds of such shareholders as, being entitled to do so, vote in person or, where proxies are allowed, by proxy at a general meeting of the Company of which notice specifying the intention to propose the resolution as a special resolution has been duly given and where a poll is taken regard shall be had in computing a majority to the number of votes to which each shareholder is entitled.</w:t>
      </w:r>
    </w:p>
    <w:p>
      <w:pPr>
        <w:spacing w:after="0" w:line="20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Charter does not permit the adoption by the shareholders of resolutions in writing. A shareholder resolution must be passed at a meeting of the shareholders.</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Shareholders have no general right under the Company Charter to bring business before a general meeting of the Company, save in the case of any shareholders right to requisition a general meeting provided the minimum shareholder requirement is met.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Appointment of Directors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directors of the Company may be appointed by an ordinary resolution of the shareholders. Alternatively, the Company board of directors may, by the affirmative vote of a simple majority of the directors present and voting at a board meeting appoint any person as a director to fill a casual vacancy on the board or as an addition to the existing board. The Company directors are not automatically subject to a term of office and hold office until such time as their office is vacated or where they are removed from office by an ordinary resolution of shareholders or otherwise in accordance with the Company Charter. In addition, a director will cease to be a director if, among other things the director (i) becomes bankrupt or makes any arrangement or composition with his or her creditors: (ii) dies or is found to be or becomes of unsound mind within the scope of the Company Charter: (iii) resigns his or her office by notice in writing to the Company; (iv) without special leave of absence from the Company Board, is absent from board meetings for a continuous period of 6 months and the Company directors resolve that his or her office be vacated; (v) by notice in writing signed by not less than three-fourths of all the Company directors in number; or (vi) is removed from office pursuant to any other provision of the Company Charter.</w:t>
      </w:r>
    </w:p>
    <w:p>
      <w:pPr>
        <w:spacing w:after="0" w:line="18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officers of the Company are appointed by and serve at the discretion of the board of directors, and may be removed by our board of directors.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Shareholder Suits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principle, the Company will normally be the proper plaintiff and as a general rule a derivative action may not be brought by a minority shareholder. However, based on English authorities, which would in all likelihood be of persuasive authority in the Cayman Islands, the Cayman Islands courts can be expected to follow and apply the common law principles (namely the rule in Foss v. Harbottle and the exceptions thereto) so that a non-controlling shareholder may be permitted to commence a class action against or derivative actions in the name of the company to challenge actions where:</w:t>
      </w:r>
    </w:p>
    <w:p>
      <w:pPr>
        <w:spacing w:after="0" w:line="207" w:lineRule="exact"/>
        <w:rPr>
          <w:sz w:val="20"/>
          <w:szCs w:val="20"/>
          <w:color w:val="auto"/>
        </w:rPr>
      </w:pPr>
    </w:p>
    <w:p>
      <w:pPr>
        <w:ind w:left="740" w:hanging="354"/>
        <w:spacing w:after="0"/>
        <w:tabs>
          <w:tab w:leader="none" w:pos="7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company acts or proposes to act illegally or ultra vires;</w:t>
      </w:r>
    </w:p>
    <w:p>
      <w:pPr>
        <w:spacing w:after="0" w:line="279" w:lineRule="exact"/>
        <w:rPr>
          <w:rFonts w:ascii="Times New Roman" w:cs="Times New Roman" w:eastAsia="Times New Roman" w:hAnsi="Times New Roman"/>
          <w:sz w:val="18"/>
          <w:szCs w:val="18"/>
          <w:color w:val="auto"/>
        </w:rPr>
      </w:pPr>
    </w:p>
    <w:p>
      <w:pPr>
        <w:ind w:left="740" w:right="40" w:hanging="354"/>
        <w:spacing w:after="0" w:line="282" w:lineRule="auto"/>
        <w:tabs>
          <w:tab w:leader="none" w:pos="7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 complained of, although not ultra vires, could only be effected duly if authorized by more than the number of votes which have actually been obtained; and</w:t>
      </w:r>
    </w:p>
    <w:p>
      <w:pPr>
        <w:spacing w:after="0" w:line="215" w:lineRule="exact"/>
        <w:rPr>
          <w:rFonts w:ascii="Times New Roman" w:cs="Times New Roman" w:eastAsia="Times New Roman" w:hAnsi="Times New Roman"/>
          <w:sz w:val="18"/>
          <w:szCs w:val="18"/>
          <w:color w:val="auto"/>
        </w:rPr>
      </w:pPr>
    </w:p>
    <w:p>
      <w:pPr>
        <w:ind w:left="740" w:hanging="354"/>
        <w:spacing w:after="0"/>
        <w:tabs>
          <w:tab w:leader="none" w:pos="7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those who control the company are perpetrating a “fraud on the minority.”</w:t>
      </w:r>
    </w:p>
    <w:p>
      <w:pPr>
        <w:spacing w:after="0" w:line="25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 shareholder may have a direct right of action against us where the individual rights of that shareholder have been infringed or are about to be infringed.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April 2026 Warrant</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April 28, 2026, the Company issued to an institutional investor a warrant for 1,125,000 shares at an initial exercise price of $8.00 per share (the “April 2026 Warrant”), subject to full-ratchet anti-dilution adjustments and other price protections, in exchange for a portion of the then-outstanding Notes pursuant to the Exchange Agreement, in reliance on the exemption from registration provided by Section 3(a)(9) of the Securities Act. The April 2026 Warrant has a term of three years.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Public Warrants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following summary is not complete and is subject to, and is qualified in its entirety by reference to, the provisions of the Warrant Agreement, dated as of March 23, 2022, by and between RFAC and Continental Stock Transfer &amp; Trust Company (the “2022 Warrant Agreement”), which was filed as Exhibit 4.5 to the registration statement (333-261765).</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February 13, 2025, the Company, RFAC and Continental Stock Transfer &amp; Trust Company entered into the Assignment, Assumption and Amendment Agreement (the “Amended Warrant Agreement”), pursuant to which, among other things, effective as of the Effective Time, the Company assumed the obligations of RFAC under the 2022 Warrant Agreement. Pursuant to the Business Combination Agreement and the Amended Warrant Agreement, each issued and outstanding warrant of RFAC sold to the public and to the Sponsor and EBC in a private placement in connection with RFAC’s initial public offering was exchanged for a corresponding warrant exercisable for the Company’s Ordinary Shares.</w:t>
      </w:r>
    </w:p>
    <w:p>
      <w:pPr>
        <w:spacing w:after="0" w:line="18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Warrants have the same terms as the RFAC Warrants. Each whole Warrant entitles the registered holder to purchase one Ordinary Share at a price of $11.50 per share, subject to adjustment as discussed below, at any time commencing 30 days after the completion of our Business Combination; provided that we have an effective registration statement under the Securities Act covering the Ordinary Shares issuable upon exercise of the Warrants and a current prospectus relating to them is available (or we permit holders to exercise their Warrants on a cashless basis under the circumstances specified in the warrant agreement) and such shares are registered, qualified or exempt from registration under the securities, or blue sky, laws of the state of residence of the holder. Pursuant to the warrant agreement, a warrant holder may exercise its warrants only for a whole number of Ordinary Shares. This means only a whole Warrant may be exercised at a given time by a warrant holder. The Warrants will expire five years after the completion of our Business Combination, at 5:00 p.m., New York City time, or earlier upon redemption or liquidation.</w:t>
      </w:r>
    </w:p>
    <w:p>
      <w:pPr>
        <w:spacing w:after="0" w:line="19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will not be obligated to deliver any Ordinary Shares pursuant to the exercise of a Warrant and will have no obligation to settle such Warrant exercise unless a registration statement under the Securities Act with respect to the Ordinary Shares underlying the warrants is then effective and a prospectus relating thereto is current, subject to our satisfying our obligations described below with respect to registration. No Warrant will be exercisable and we will not be obligated to issue a Ordinary Share upon exercise of a Warrant unless the Ordinary Share issuable upon such Warrant exercise has been registered, qualified or deemed to be exempt under the securities laws of the state of residence of the registered holder of the Warrants. In the event that the conditions in the two immediately preceding sentences are not satisfied with respect to a Warrant, the holder of such Warrant will not be entitled to exercise such Warrant and such Warrant may have no value and expire worthless. In no event will we be required to net cash settle any Warrant. In the event that a registration statement is not effective for the exercised Warrants, the purchaser of a unit containing such warrant will have paid the full purchase price for the unit solely for the Ordinary Share underlying such Unit.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3" w:name="page24"/>
    <w:bookmarkEnd w:id="23"/>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We registered the Ordinary Shares issuable upon exercise of the Warrants on a Registration Statement on Form S-1 (File No. 333-265353) because the Warrants has become exercisable 30 days after the completion of its Business Combination, which may be within one year of our Initial Public Offering. However, because the Warrants will be exercisable until their expiration date of up to five years after the completion of our Business Combination, in order to comply with the requirements of Section 10(a)(3) of the Securities Act following the consummation of our Business Combination, under the terms of the warrant agreement, we have agreed that, as soon as practicable, but in no event later than 15 business days, after the closing of its Business Combination, we will use our best efforts to file with the SEC a post-effective amendment to the registration statement or a new registration statement covering the registration under the Securities Act of the Ordinary Shares issuable upon exercise of the Warrants and thereafter will use our best efforts to cause the same to become effective within 60 business days following our Business Combination and to maintain a current prospectus relating to the Ordinary Shares issuable upon exercise of the Warrants until the expiration of the Warrants in accordance with the provisions of the warrant agreement. If a registration statement covering the Ordinary Shares issuable upon exercise of the Warrants is not effective by the sixtieth (60th) business day after the closing of our Business Combination, warrant holders may, until such time as there is an effective registration statement and during any period when we will have failed to maintain an effective registration statement, exercise Warrants on a “cashless basis” in accordance with Section 3(a)(9) of the Securities Act or another exemption. Notwithstanding the above, if our Ordinary Shares are at the time of any exercise of a Warrant no longer listed on a national securities exchange such that they satisfy the definition of a “covered security” under Section 18(b)(1) of the Securities Act, we may, at our option, require holders of Public Warrants who exercise their Warrants to do so on a “cashless basis” in accordance with Section 3(a)(9) of the Securities Act and, in the event we so elect, we will not be required to file or maintain in effect a registration statement, and in the event we do not so elect, we will use our best efforts to register or qualify the shares under applicable blue sky laws to the extent an exemption is not available. On April 3, 2025, we registered the Ordinary Shares issuable upon exercise of these Warrants on a Registration Statement on Form F-1 (File No. 333-265353) which was declared effective by the SEC on April 7, 2025.</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Redemption</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Once the Warrants become exercisable, we may call the Warrants for redemption for cash:</w:t>
      </w:r>
    </w:p>
    <w:p>
      <w:pPr>
        <w:spacing w:after="0" w:line="252" w:lineRule="exact"/>
        <w:rPr>
          <w:sz w:val="20"/>
          <w:szCs w:val="20"/>
          <w:color w:val="auto"/>
        </w:rPr>
      </w:pPr>
    </w:p>
    <w:p>
      <w:pPr>
        <w:ind w:left="740" w:hanging="354"/>
        <w:spacing w:after="0"/>
        <w:tabs>
          <w:tab w:leader="none" w:pos="7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279" w:lineRule="exact"/>
        <w:rPr>
          <w:rFonts w:ascii="Times New Roman" w:cs="Times New Roman" w:eastAsia="Times New Roman" w:hAnsi="Times New Roman"/>
          <w:sz w:val="18"/>
          <w:szCs w:val="18"/>
          <w:color w:val="auto"/>
        </w:rPr>
      </w:pPr>
    </w:p>
    <w:p>
      <w:pPr>
        <w:ind w:left="740" w:hanging="354"/>
        <w:spacing w:after="0"/>
        <w:tabs>
          <w:tab w:leader="none" w:pos="7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price of $.01 per Warrant;</w:t>
      </w:r>
    </w:p>
    <w:p>
      <w:pPr>
        <w:spacing w:after="0" w:line="279" w:lineRule="exact"/>
        <w:rPr>
          <w:rFonts w:ascii="Times New Roman" w:cs="Times New Roman" w:eastAsia="Times New Roman" w:hAnsi="Times New Roman"/>
          <w:sz w:val="18"/>
          <w:szCs w:val="18"/>
          <w:color w:val="auto"/>
        </w:rPr>
      </w:pPr>
    </w:p>
    <w:p>
      <w:pPr>
        <w:ind w:left="740" w:hanging="354"/>
        <w:spacing w:after="0"/>
        <w:tabs>
          <w:tab w:leader="none" w:pos="7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not less than 30 days’ prior written notice of redemption (the “30-day redemption period”) to each warrant holder; and</w:t>
      </w:r>
    </w:p>
    <w:p>
      <w:pPr>
        <w:spacing w:after="0" w:line="279" w:lineRule="exact"/>
        <w:rPr>
          <w:rFonts w:ascii="Times New Roman" w:cs="Times New Roman" w:eastAsia="Times New Roman" w:hAnsi="Times New Roman"/>
          <w:sz w:val="18"/>
          <w:szCs w:val="18"/>
          <w:color w:val="auto"/>
        </w:rPr>
      </w:pPr>
    </w:p>
    <w:p>
      <w:pPr>
        <w:jc w:val="both"/>
        <w:ind w:left="740" w:right="20" w:hanging="354"/>
        <w:spacing w:after="0" w:line="261" w:lineRule="auto"/>
        <w:tabs>
          <w:tab w:leader="none" w:pos="7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closing price of the common stock equals or exceeds $18.00 per share (as adjusted for stock splits, stock capitalizations, reorganizations, recapitalizations and the like and for certain issuances of Ordinary Shares and equity-linked securities for capital raising purposes in connection with the closing of our Business Combination as described elsewhere in this Annual Report) for any 20 trading days within a 30-trading day period ending three business days before we send to the notice of redemption to the warrant holders.</w:t>
      </w:r>
    </w:p>
    <w:p>
      <w:pPr>
        <w:spacing w:after="0" w:line="207"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If and when the Warrants become redeemable by us for cash, we may exercise our redemption right even if we are unable to register or qualify the underlying securities for sale under all applicable state securities laws.</w:t>
      </w:r>
    </w:p>
    <w:p>
      <w:pPr>
        <w:spacing w:after="0" w:line="16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have established the last of the redemption criterion discussed above to prevent a redemption call unless there is at the time of the call a significant premium to the Warrant exercise price. If the foregoing conditions are satisfied and we issue a notice of redemption of the Warrants, each warrant holder will be entitled to exercise his, her or its Warrant prior to the scheduled redemption date. However, the price of the Ordinary Shares may fall below the $18.00 redemption trigger price (as adjusted for stock splits, stock capitalizations, reorganizations, recapitalizations and the like and for certain issuances of Ordinary Shares and equity-linked securities for capital raising purposes in connection with the closing of our Business Combination as described elsewhere in this Annual Report) as well as the $11.50 Warrant exercise price after the redemption notice is issued.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Redemption procedures</w:t>
      </w:r>
    </w:p>
    <w:p>
      <w:pPr>
        <w:spacing w:after="0" w:line="22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If we call the Warrants for redemption as described above, our Management will have the option to require any holder that wishes to exercise his, her or its Warrant to do so on a “cashless basis.” In determining whether to require all holders to exercise their Warrants on a “cashless basis,” our Management will consider, among other factors, our cash position, the number of Warrants that are outstanding and the dilutive effect on our stockholders of issuing the maximum number of Ordinary Shares issuable upon the exercise of our Warrants. If our Management takes advantage of this option, all holders of Warrants would pay the exercise price by surrendering their Warrants for that number of Ordinary Shares equal to the quotient obtained by dividing (x) the product of the number of Ordinary Shares underlying the Warrants, multiplied by the excess of the “fair market value” of our Ordinary Shares (defined below) over the exercise price of the Warrants by (y) the fair market value. The “fair market value” will mean the average closing price of the Ordinary Shares for the five trading days ending on the third trading day prior to the date on which the notice of redemption is sent to the holders of Warrants. If our Management takes advantage of this option, the notice of redemption will contain the information necessary to calculate the number of Ordinary Shares to be received upon exercise of the Warrants, including the “fair market value” in such case. Requiring a cashless exercise in this manner will reduce the number of shares to be issued and thereby lessen the dilutive effect of a Warrant redemption. We believe this feature is an attractive option to us if we do not need the cash from the exercise of the Warrants after our Business Combination. If we call our Warrants for redemption and our Management does not take advantage of this option, the holders of the Private Placement Warrants and their permitted transferees would still be entitled to exercise their Private Placement Warrants for cash or on a cashless basis using the same formula described above that other warrant holders would have been required to use had all warrant holders been required to exercise their Warrants on a cashless basis.</w:t>
      </w:r>
    </w:p>
    <w:p>
      <w:pPr>
        <w:spacing w:after="0" w:line="19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 holder of a Warrant may notify us in writing if it elects to be subject to a requirement that such holder will not have the right to exercise such Warrant, to the extent that after giving effect to such exercise, such person (together with such person’s affiliates), to the warrant agent’s actual knowledge, would beneficially own in excess of 4.9% or 9.8% (as specified by the holder) of the Ordinary Shares outstanding immediately after giving effect to such exercise.</w:t>
      </w:r>
    </w:p>
    <w:p>
      <w:pPr>
        <w:spacing w:after="0" w:line="180"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If the number of outstanding Ordinary Shares is increased by a share capitalization payable in Ordinary Shares, or by a split-up of common stock or other similar event, then, on the effective date of such share capitalization, split-up or similar event, the number of Ordinary Shares issuable on exercise of each Warrant will be increased in proportion to such increase in the outstanding shares of common stock. A Rights offering to holders of common stock entitling holders to purchase Ordinary Shares at a price less than the fair market value will be deemed a share capitalization of a number of Ordinary Shares equal to the product of (i) the number of Ordinary Shares actually sold in such Rights offering (or issuable under any other equity securities sold in such Rights offering that are convertible into or exercisable for Ordinary Shares) and (ii) the quotient of (x) the price per Ordinary Share paid in such Rights offering and (y) the fair market value. For these purposes (i) if the Rights offering is for securities convertible into or exercisable for Ordinary Shares, in determining the price payable for Ordinary Shares, there will be taken into account any consideration received for such Rights, as well as any additional amount payable upon exercise or conversion and (ii) fair market value means the volume weighted average price of Ordinary Shares as reported during the five trading day period ending on the trading day prior to the first date on which the Ordinary Shares trades on the applicable exchange or in the applicable market, regular way, without the right to receive such Rights.</w:t>
      </w:r>
    </w:p>
    <w:p>
      <w:pPr>
        <w:spacing w:after="0" w:line="19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addition, if we, at any time while the Warrants are outstanding and unexpired, pay a dividend or make a distribution in cash, securities or other assets to the holders of Ordinary Shares on account of such Ordinary Shares (or other securities into which the Warrants are convertible), other than (a) as described above, (b) certain ordinary cash dividends, (c) to satisfy the redemption rights of the holders of Ordinary Shares in connection with a proposed Business Combination, or (d) in connection with the redemption of our public shares upon our failure to complete our Business Combination, then the Warrant exercise price will be decreased, effective immediately after the effective date of such event, by the amount of cash and/or the fair market value of any securities or other assets paid on each Ordinary Share in respect of such event.</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If the number of outstanding Ordinary Shares is decreased by a consolidation, combination, reverse share split or reclassification of Ordinary Shares or other similar event, then, on the effective date of such consolidation, combination, reverse share split, reclassification or similar event, the number of Ordinary Shares issuable on exercise of each Warrant will be decreased in proportion to such decrease in the outstanding Ordinary Shares.</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Whenever the number of Ordinary Shares purchasable upon the exercise of the Warrants is adjusted, as described above, the Warrant exercise price will be adjusted by multiplying the Warrant exercise price immediately prior to such adjustment by a fraction (x) the numerator of which will be the number of Ordinary Shares purchasable upon the exercise of the Warrants immediately prior to such adjustment, and (y) the denominator of which will be the number of Ordinary Shares so purchasable immediately thereafter.</w:t>
      </w:r>
    </w:p>
    <w:p>
      <w:pPr>
        <w:spacing w:after="0" w:line="180"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 addition, if (x) we issue additional Ordinary Shares or equity-linked securities for capital raising purposes in connection with the closing of our Business Combination at an issue price or effective issue price of less than $9.20 per Ordinary Share (with such issue price or effective issue price to be determined in good faith by our board of directors and, in the case of any such issuance to our Sponsor, initial stockholders or their affiliates, without taking into account any Founder Shares held by our Sponsor, initial stockholders or such affiliates, as applicable, prior to such issuance) (the “Newly Issued Price”), (y) the aggregate gross proceeds from such issuances represent more than 60% of the total equity proceeds, and interest thereon, available for the funding of our Business Combination on the date of the consummation of our Business Combination (net of redemptions), and (z) the volume weighted average trading price of our Ordinary Shares during the 20 trading day period starting on the trading day after the day on which we consummate our Business Combination (such price, the “Market Value”) is below $9.20 per share, the exercise price of the Warrants will be adjusted (to the nearest cent) to be equal to 115% of the higher of the Market Value and the Newly Issued Price, and the $18.00 per share redemption trigger price described below under “Redemption of Warrants” will be adjusted (to the nearest cent) to be equal to 118% of the higher of the Market Value and the Newly Issued Price.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5" w:name="page26"/>
    <w:bookmarkEnd w:id="25"/>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Warrants have been issued in registered form under a warrant agreement between Continental Stock Transfer &amp; Trust Company, as warrant agent, and us. You should review a copy of the warrant agreement, which will be filed as an exhibit to the registration statement of which this Annual Report is a part, for a complete description of the terms and conditions applicable to the Warrants. The warrant agreement provides that the terms of the Warrants may be amended without the consent of any holder to cure any ambiguity or correct any defective provision, but requires the approval by the holders of at least a majority of the then outstanding Public Warrants to make any change that adversely affects the interests of the registered holders of Public Warrants.</w:t>
      </w:r>
    </w:p>
    <w:p>
      <w:pPr>
        <w:spacing w:after="0" w:line="18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(or on a cashless basis, if applicable), by certified or official bank check payable to us, for the number of Warrants being exercised. The warrant holders do not have the rights or privileges of holders of common stock and any voting rights until they exercise their Warrants and receive Ordinary Shares. After the issuance of Ordinary Shares upon exercise of the Warrants, each holder will be entitled to one vote for each share held of record on all matters to be voted on by stockholders.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Private Placement Warrants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Private Placement Warrants (including the Ordinary Shares issuable upon exercise of the Private Placement Warrants) are not transferable, assignable or salable until 30 days after the completion of our Business Combination. The Private Placement Warrants have terms and provisions that are identical to those of the Warrants being sold as part of the units in RFAC’s Initial Public Offering, including as to exercise price, exercisability and exercise period.</w:t>
      </w:r>
    </w:p>
    <w:p>
      <w:pPr>
        <w:spacing w:after="0" w:line="18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If holders of Warrants (and Private Placement-equivalent Warrants) elect to exercise them on a cashless basis, they would pay the exercise price by surrendering their Warrants for that number of Ordinary Shares equal to the quotient obtained by dividing (x) the product of the number of Ordinary Shares underlying the Warrants, multiplied by the excess of the “fair market value” (defined below) of the Ordinary Shares over the exercise price of the Warrants by (y) the fair market value. The “fair market value” shall mean the average reported last sale price of the Ordinary Shares for the five trading days ending on the third trading day prior to the date on which the notice of Warrant exercise is sent to the warrant agent. We expect to have policies in place that prohibit insiders from selling our securities except during specific periods of time. Even during such periods of time when insiders will be permitted to sell our securities, an insider cannot trade in our securities if he or she is in possession of material non-public information. Accordingly, unlike public stockholders who could sell the Ordinary Shares issuable upon exercise of the Warrants freely in the open market, the insiders could be significantly restricted from doing so. As a result, we believe that allowing the holders to exercise such Warrants on a cashless basis is appropriate.</w:t>
      </w:r>
    </w:p>
    <w:p>
      <w:pPr>
        <w:spacing w:after="0" w:line="18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order to finance transaction costs in connection with an intended Business Combination, our sponsor or an affiliate of our sponsor or certain of our officers and directors may, but are not obligated to, loan us funds as may be required. The terms of such working capital loans by our sponsor or its affiliates, or our officers and directors, if any, have not been determined and no written agreements exist with respect to such loans. In addition, holders of our Private Placement Warrants are entitled to certain registration rights.</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April 3, 2025, we registered the Ordinary Shares issuable upon exercise of these Warrants on a Registration Statement on Form F-1 (File No. 333-265353) which was declared effective by the SEC on April 7,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OCBC Warrant</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On July 7, 2025, the Company issued to Oversea-Chinese Banking Corporation Limited (“OCBC”) certain Warrant to Purchase Ordinary Shares of GCL Global Holdings Ltd dated as of July 7, 2025 (the “OCBC Warrant”), in connection with that certain Facility Letter dated as of October 1, 2024, as supplemented by those certain Supplemental Letters dated as of March 12, 2025 and July 7, 2025, between the Holder and Epicsoft Asia Pte. Ltd. (the “Borrower”) which is a wholly-owned subsidiary of the Company for a financing of up to SGD5,000,000 (together, the “Facility Agreement”). On July 29, 2025, the Company and the OCBC entered into Amendment No. 1 to the Warrant (the “Amendment”) to clarify their commercial understanding that none of the terms of the OCBC Warrant shall have any legal effect on the Borrower and/or the Company unless and until the entire SGD 5,000,000 has been disbursed to the Borrower by the Holder under the Facility Agreement; and that the Holder will have no claims for penalties, damages and legal remedies of any kind against either the Company or the Borrower for non-performance of any obligations under the OCBC Warrant. The Amendment also provides that, among other things, until the full amount of SGD5,000,000 is disbursed by OCBC to the Borrower pursuant to the Facility Agreement, (i) the OCBC Warrant shall not be capable of exercise of any kind, and shall remain un-exercisable; and (ii) the Holder will have no rights to Piggyback Registration (as defined in the OCBC Warrant). Under the Amendment, the Company will have six months from the date the full amount of SGD5,000,000 is disbursed to file a registration statement for the public resale of all of the Warrant Shares (as defined in the OCBC Warrant).</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 w:name="page27"/>
    <w:bookmarkEnd w:id="26"/>
    <w:p>
      <w:pPr>
        <w:ind w:left="4500"/>
        <w:spacing w:after="0"/>
        <w:rPr>
          <w:sz w:val="20"/>
          <w:szCs w:val="20"/>
          <w:color w:val="auto"/>
        </w:rPr>
      </w:pPr>
      <w:r>
        <w:rPr>
          <w:rFonts w:ascii="Times New Roman" w:cs="Times New Roman" w:eastAsia="Times New Roman" w:hAnsi="Times New Roman"/>
          <w:sz w:val="18"/>
          <w:szCs w:val="18"/>
          <w:b w:val="1"/>
          <w:bCs w:val="1"/>
          <w:color w:val="auto"/>
        </w:rPr>
        <w:t>SELLING SHAREHOLDER</w:t>
      </w:r>
    </w:p>
    <w:p>
      <w:pPr>
        <w:spacing w:after="0" w:line="14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are registering the Shares in order to permit the Selling Shareholder to offer the Shares for resale from time to time.</w:t>
      </w:r>
    </w:p>
    <w:p>
      <w:pPr>
        <w:spacing w:after="0" w:line="22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table below lists the Selling Shareholder and other information regarding his beneficial ownership (as determined under Section 13(d) of the Securities Exchange Act of 1934, as amended, and the rules and regulations thereunder) of the ordinary shares held by each of the Selling Shareholder. The second column lists the number of ordinary shares beneficially owned by the Selling Shareholder, based on its ownership of ordinary shares and notes, as of June 4, 2026.</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third column lists the ordinary shares being offered by this prospectus by the Selling Shareholder.</w:t>
      </w:r>
    </w:p>
    <w:p>
      <w:pPr>
        <w:spacing w:after="0" w:line="14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fourth column assumes the sale of all of the Shares offered by the Selling Shareholder pursuant to this prospectus.</w:t>
      </w:r>
    </w:p>
    <w:p>
      <w:pPr>
        <w:spacing w:after="0" w:line="14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Selling Shareholder may sell all, some or none of their shares in this offering. See “Plan of Distribution.”</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40" w:type="dxa"/>
            <w:vAlign w:val="bottom"/>
            <w:gridSpan w:val="3"/>
          </w:tcPr>
          <w:p>
            <w:pPr>
              <w:jc w:val="center"/>
              <w:ind w:left="83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Shares to</w:t>
            </w:r>
          </w:p>
        </w:tc>
        <w:tc>
          <w:tcPr>
            <w:tcW w:w="1540" w:type="dxa"/>
            <w:vAlign w:val="bottom"/>
            <w:gridSpan w:val="3"/>
          </w:tcPr>
          <w:p>
            <w:pPr>
              <w:jc w:val="center"/>
              <w:ind w:left="81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gridSpan w:val="3"/>
          </w:tcPr>
          <w:p>
            <w:pPr>
              <w:jc w:val="center"/>
              <w:ind w:left="81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be Sold</w:t>
            </w:r>
          </w:p>
        </w:tc>
        <w:tc>
          <w:tcPr>
            <w:tcW w:w="2540" w:type="dxa"/>
            <w:vAlign w:val="bottom"/>
            <w:gridSpan w:val="5"/>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60" w:type="dxa"/>
            <w:vAlign w:val="bottom"/>
            <w:gridSpan w:val="4"/>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9"/>
              </w:rPr>
              <w:t>Owned Prior to</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Pursuant to</w:t>
            </w:r>
          </w:p>
        </w:tc>
        <w:tc>
          <w:tcPr>
            <w:tcW w:w="2540" w:type="dxa"/>
            <w:vAlign w:val="bottom"/>
            <w:gridSpan w:val="5"/>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Owned After</w:t>
            </w:r>
          </w:p>
        </w:tc>
      </w:tr>
      <w:tr>
        <w:trPr>
          <w:trHeight w:val="263"/>
        </w:trPr>
        <w:tc>
          <w:tcPr>
            <w:tcW w:w="4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40" w:type="dxa"/>
            <w:vAlign w:val="bottom"/>
            <w:gridSpan w:val="3"/>
          </w:tcPr>
          <w:p>
            <w:pPr>
              <w:jc w:val="center"/>
              <w:ind w:left="810"/>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7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this</w:t>
            </w:r>
          </w:p>
        </w:tc>
        <w:tc>
          <w:tcPr>
            <w:tcW w:w="2540" w:type="dxa"/>
            <w:vAlign w:val="bottom"/>
            <w:gridSpan w:val="5"/>
          </w:tcPr>
          <w:p>
            <w:pPr>
              <w:jc w:val="center"/>
              <w:ind w:right="100"/>
              <w:spacing w:after="0" w:line="256" w:lineRule="exact"/>
              <w:rPr>
                <w:sz w:val="20"/>
                <w:szCs w:val="20"/>
                <w:color w:val="auto"/>
              </w:rPr>
            </w:pPr>
            <w:r>
              <w:rPr>
                <w:rFonts w:ascii="Times New Roman" w:cs="Times New Roman" w:eastAsia="Times New Roman" w:hAnsi="Times New Roman"/>
                <w:sz w:val="18"/>
                <w:szCs w:val="18"/>
                <w:b w:val="1"/>
                <w:bCs w:val="1"/>
                <w:color w:val="auto"/>
                <w:w w:val="94"/>
              </w:rPr>
              <w:t xml:space="preserve">Offering </w:t>
            </w:r>
            <w:r>
              <w:rPr>
                <w:rFonts w:ascii="Times New Roman" w:cs="Times New Roman" w:eastAsia="Times New Roman" w:hAnsi="Times New Roman"/>
                <w:sz w:val="29"/>
                <w:szCs w:val="29"/>
                <w:b w:val="1"/>
                <w:bCs w:val="1"/>
                <w:color w:val="auto"/>
                <w:w w:val="94"/>
                <w:vertAlign w:val="superscript"/>
              </w:rPr>
              <w:t>(1)</w:t>
            </w:r>
          </w:p>
        </w:tc>
      </w:tr>
      <w:tr>
        <w:trPr>
          <w:trHeight w:val="223"/>
        </w:trPr>
        <w:tc>
          <w:tcPr>
            <w:tcW w:w="4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 of Selling Shareholder</w:t>
            </w:r>
          </w:p>
        </w:tc>
        <w:tc>
          <w:tcPr>
            <w:tcW w:w="120" w:type="dxa"/>
            <w:vAlign w:val="bottom"/>
            <w:tcBorders>
              <w:bottom w:val="single" w:sz="8" w:color="CCEEFF"/>
            </w:tcBorders>
          </w:tcPr>
          <w:p>
            <w:pPr>
              <w:spacing w:after="0"/>
              <w:rPr>
                <w:sz w:val="19"/>
                <w:szCs w:val="19"/>
                <w:color w:val="auto"/>
              </w:rPr>
            </w:pPr>
          </w:p>
        </w:tc>
        <w:tc>
          <w:tcPr>
            <w:tcW w:w="1140" w:type="dxa"/>
            <w:vAlign w:val="bottom"/>
            <w:tcBorders>
              <w:top w:val="single" w:sz="8" w:color="auto"/>
              <w:bottom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46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180" w:type="dxa"/>
            <w:vAlign w:val="bottom"/>
            <w:tcBorders>
              <w:top w:val="single" w:sz="8" w:color="auto"/>
              <w:bottom w:val="single" w:sz="8" w:color="auto"/>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Prospectus</w:t>
            </w:r>
          </w:p>
        </w:tc>
        <w:tc>
          <w:tcPr>
            <w:tcW w:w="220" w:type="dxa"/>
            <w:vAlign w:val="bottom"/>
            <w:tcBorders>
              <w:bottom w:val="single" w:sz="8" w:color="CCEEFF"/>
            </w:tcBorders>
          </w:tcPr>
          <w:p>
            <w:pPr>
              <w:spacing w:after="0"/>
              <w:rPr>
                <w:sz w:val="19"/>
                <w:szCs w:val="19"/>
                <w:color w:val="auto"/>
              </w:rPr>
            </w:pPr>
          </w:p>
        </w:tc>
        <w:tc>
          <w:tcPr>
            <w:tcW w:w="1100" w:type="dxa"/>
            <w:vAlign w:val="bottom"/>
            <w:tcBorders>
              <w:top w:val="single" w:sz="8" w:color="auto"/>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2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100" w:type="dxa"/>
            <w:vAlign w:val="bottom"/>
            <w:tcBorders>
              <w:bottom w:val="single" w:sz="8" w:color="CCEEFF"/>
            </w:tcBorders>
          </w:tcPr>
          <w:p>
            <w:pPr>
              <w:spacing w:after="0"/>
              <w:rPr>
                <w:sz w:val="19"/>
                <w:szCs w:val="19"/>
                <w:color w:val="auto"/>
              </w:rPr>
            </w:pPr>
          </w:p>
        </w:tc>
      </w:tr>
      <w:tr>
        <w:trPr>
          <w:trHeight w:val="256"/>
        </w:trPr>
        <w:tc>
          <w:tcPr>
            <w:tcW w:w="428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Teng Woo Boon</w:t>
            </w:r>
            <w:r>
              <w:rPr>
                <w:rFonts w:ascii="Times New Roman" w:cs="Times New Roman" w:eastAsia="Times New Roman" w:hAnsi="Times New Roman"/>
                <w:sz w:val="29"/>
                <w:szCs w:val="29"/>
                <w:color w:val="auto"/>
                <w:vertAlign w:val="superscript"/>
              </w:rPr>
              <w:t>(2)</w:t>
            </w:r>
          </w:p>
        </w:tc>
        <w:tc>
          <w:tcPr>
            <w:tcW w:w="120" w:type="dxa"/>
            <w:vAlign w:val="bottom"/>
            <w:shd w:val="clear" w:color="auto" w:fill="CCEEFF"/>
          </w:tcPr>
          <w:p>
            <w:pPr>
              <w:spacing w:after="0"/>
              <w:rPr>
                <w:sz w:val="22"/>
                <w:szCs w:val="22"/>
                <w:color w:val="auto"/>
              </w:rPr>
            </w:pPr>
          </w:p>
        </w:tc>
        <w:tc>
          <w:tcPr>
            <w:tcW w:w="16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625,000</w:t>
            </w:r>
          </w:p>
        </w:tc>
        <w:tc>
          <w:tcPr>
            <w:tcW w:w="24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625,000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22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bl>
    <w:p>
      <w:pPr>
        <w:spacing w:after="0" w:line="117"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color w:val="auto"/>
        </w:rPr>
        <w:t>*</w:t>
        <w:tab/>
        <w:t>Less than 1%.</w:t>
      </w:r>
    </w:p>
    <w:p>
      <w:pPr>
        <w:spacing w:after="0" w:line="144" w:lineRule="exact"/>
        <w:rPr>
          <w:sz w:val="20"/>
          <w:szCs w:val="20"/>
          <w:color w:val="auto"/>
        </w:rPr>
      </w:pPr>
    </w:p>
    <w:p>
      <w:pPr>
        <w:jc w:val="both"/>
        <w:ind w:left="340" w:hanging="332"/>
        <w:spacing w:after="0" w:line="258"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amount of ordinary shares that will be held by the Selling Shareholder after completion of this offering based on the assumptions that no other ordinary shares are acquired or sold by the Selling Shareholder prior to completion of this offering. However, the Selling Shareholder may sell all, some or none of such shares offered pursuant to this Prospectus and may sell other ordinary shares that they may own pursuant to another registration statement under the Securities Act or sell some or all of their shares pursuant to an exemption from the registration provisions of the Securities Act, including under Rule 144.</w:t>
      </w:r>
    </w:p>
    <w:p>
      <w:pPr>
        <w:spacing w:after="0" w:line="10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Teng Woo Boon’s address is c/o Ban Leong Technologies Pte. Ltd., 150,Ubi Avenue 4, #04-01, Singapore 408825.</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We are registering the ordinary shares issuable upon conversion of the notes to permit the resale of these ordinary shares by the holders of the notes from time to time after the date of this prospectus. We will not receive any of the proceeds from the sale by the Selling Shareholder of the ordinary shares. We will bear all fees and expenses incident to our obligation to register the ordinary shares.</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Selling Shareholder may sell all or a portion of the ordinary shares held by them and offered hereby from time to time directly or through one or more underwriters, broker-dealers or agents. If the ordinary shares are sold through underwriters or broker-dealers, the Selling Shareholder will be responsible for underwriting discounts or commissions or agent’s commissions. The ordinary shares may be sold in one or more transactions at fixed prices, at prevailing market prices at the time of the sale, at varying prices determined at the time of sale or at negotiated prices. These sales may be effected in transactions, which may involve crosses or block transactions, pursuant to one or more of the following methods:</w:t>
      </w:r>
    </w:p>
    <w:p>
      <w:pPr>
        <w:spacing w:after="0" w:line="210" w:lineRule="exact"/>
        <w:rPr>
          <w:sz w:val="20"/>
          <w:szCs w:val="20"/>
          <w:color w:val="auto"/>
        </w:rPr>
      </w:pPr>
    </w:p>
    <w:p>
      <w:pPr>
        <w:ind w:left="740" w:hanging="354"/>
        <w:spacing w:after="0"/>
        <w:tabs>
          <w:tab w:leader="none" w:pos="7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any national securities exchange or quotation service on which the securities may be listed or quoted at the time of sale;</w:t>
      </w:r>
    </w:p>
    <w:p>
      <w:pPr>
        <w:spacing w:after="0" w:line="279" w:lineRule="exact"/>
        <w:rPr>
          <w:rFonts w:ascii="Times New Roman" w:cs="Times New Roman" w:eastAsia="Times New Roman" w:hAnsi="Times New Roman"/>
          <w:sz w:val="18"/>
          <w:szCs w:val="18"/>
          <w:color w:val="auto"/>
        </w:rPr>
      </w:pPr>
    </w:p>
    <w:p>
      <w:pPr>
        <w:ind w:left="740" w:hanging="354"/>
        <w:spacing w:after="0"/>
        <w:tabs>
          <w:tab w:leader="none" w:pos="7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over-the-counter market;</w:t>
      </w:r>
    </w:p>
    <w:p>
      <w:pPr>
        <w:spacing w:after="0" w:line="279" w:lineRule="exact"/>
        <w:rPr>
          <w:rFonts w:ascii="Times New Roman" w:cs="Times New Roman" w:eastAsia="Times New Roman" w:hAnsi="Times New Roman"/>
          <w:sz w:val="18"/>
          <w:szCs w:val="18"/>
          <w:color w:val="auto"/>
        </w:rPr>
      </w:pPr>
    </w:p>
    <w:p>
      <w:pPr>
        <w:ind w:left="740" w:hanging="354"/>
        <w:spacing w:after="0"/>
        <w:tabs>
          <w:tab w:leader="none" w:pos="7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transactions otherwise than on these exchanges or systems or in the over-the-counter market;</w:t>
      </w:r>
    </w:p>
    <w:p>
      <w:pPr>
        <w:spacing w:after="0" w:line="279" w:lineRule="exact"/>
        <w:rPr>
          <w:rFonts w:ascii="Times New Roman" w:cs="Times New Roman" w:eastAsia="Times New Roman" w:hAnsi="Times New Roman"/>
          <w:sz w:val="18"/>
          <w:szCs w:val="18"/>
          <w:color w:val="auto"/>
        </w:rPr>
      </w:pPr>
    </w:p>
    <w:p>
      <w:pPr>
        <w:ind w:left="740" w:hanging="354"/>
        <w:spacing w:after="0"/>
        <w:tabs>
          <w:tab w:leader="none" w:pos="7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or settlement of options, whether such options are listed on an options exchange or otherwise;</w:t>
      </w:r>
    </w:p>
    <w:p>
      <w:pPr>
        <w:spacing w:after="0" w:line="279" w:lineRule="exact"/>
        <w:rPr>
          <w:rFonts w:ascii="Times New Roman" w:cs="Times New Roman" w:eastAsia="Times New Roman" w:hAnsi="Times New Roman"/>
          <w:sz w:val="18"/>
          <w:szCs w:val="18"/>
          <w:color w:val="auto"/>
        </w:rPr>
      </w:pPr>
    </w:p>
    <w:p>
      <w:pPr>
        <w:ind w:left="740" w:hanging="354"/>
        <w:spacing w:after="0"/>
        <w:tabs>
          <w:tab w:leader="none" w:pos="7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the broker-dealer solicits purchasers;</w:t>
      </w:r>
    </w:p>
    <w:p>
      <w:pPr>
        <w:spacing w:after="0" w:line="279" w:lineRule="exact"/>
        <w:rPr>
          <w:rFonts w:ascii="Times New Roman" w:cs="Times New Roman" w:eastAsia="Times New Roman" w:hAnsi="Times New Roman"/>
          <w:sz w:val="18"/>
          <w:szCs w:val="18"/>
          <w:color w:val="auto"/>
        </w:rPr>
      </w:pPr>
    </w:p>
    <w:p>
      <w:pPr>
        <w:ind w:left="740" w:right="40" w:hanging="354"/>
        <w:spacing w:after="0" w:line="282" w:lineRule="auto"/>
        <w:tabs>
          <w:tab w:leader="none" w:pos="7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 trades in which the broker-dealer will attempt to sell the shares as agent but may position and resell a portion of the block as principal to facilitate the transaction;</w:t>
      </w:r>
    </w:p>
    <w:p>
      <w:pPr>
        <w:spacing w:after="0" w:line="215" w:lineRule="exact"/>
        <w:rPr>
          <w:rFonts w:ascii="Times New Roman" w:cs="Times New Roman" w:eastAsia="Times New Roman" w:hAnsi="Times New Roman"/>
          <w:sz w:val="18"/>
          <w:szCs w:val="18"/>
          <w:color w:val="auto"/>
        </w:rPr>
      </w:pPr>
    </w:p>
    <w:p>
      <w:pPr>
        <w:ind w:left="740" w:hanging="354"/>
        <w:spacing w:after="0"/>
        <w:tabs>
          <w:tab w:leader="none" w:pos="7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broker-dealer as principal and resale by the broker-dealer for its account;</w:t>
      </w:r>
    </w:p>
    <w:p>
      <w:pPr>
        <w:spacing w:after="0" w:line="279" w:lineRule="exact"/>
        <w:rPr>
          <w:rFonts w:ascii="Times New Roman" w:cs="Times New Roman" w:eastAsia="Times New Roman" w:hAnsi="Times New Roman"/>
          <w:sz w:val="18"/>
          <w:szCs w:val="18"/>
          <w:color w:val="auto"/>
        </w:rPr>
      </w:pPr>
    </w:p>
    <w:p>
      <w:pPr>
        <w:ind w:left="740" w:hanging="354"/>
        <w:spacing w:after="0"/>
        <w:tabs>
          <w:tab w:leader="none" w:pos="7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exchange distribution in accordance with the rules of the applicable exchange;</w:t>
      </w:r>
    </w:p>
    <w:p>
      <w:pPr>
        <w:spacing w:after="0" w:line="279" w:lineRule="exact"/>
        <w:rPr>
          <w:rFonts w:ascii="Times New Roman" w:cs="Times New Roman" w:eastAsia="Times New Roman" w:hAnsi="Times New Roman"/>
          <w:sz w:val="18"/>
          <w:szCs w:val="18"/>
          <w:color w:val="auto"/>
        </w:rPr>
      </w:pPr>
    </w:p>
    <w:p>
      <w:pPr>
        <w:ind w:left="740" w:hanging="354"/>
        <w:spacing w:after="0"/>
        <w:tabs>
          <w:tab w:leader="none" w:pos="7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privately negotiated transactions;</w:t>
      </w:r>
    </w:p>
    <w:p>
      <w:pPr>
        <w:spacing w:after="0" w:line="279" w:lineRule="exact"/>
        <w:rPr>
          <w:rFonts w:ascii="Times New Roman" w:cs="Times New Roman" w:eastAsia="Times New Roman" w:hAnsi="Times New Roman"/>
          <w:sz w:val="18"/>
          <w:szCs w:val="18"/>
          <w:color w:val="auto"/>
        </w:rPr>
      </w:pPr>
    </w:p>
    <w:p>
      <w:pPr>
        <w:ind w:left="740" w:hanging="354"/>
        <w:spacing w:after="0"/>
        <w:tabs>
          <w:tab w:leader="none" w:pos="7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 sales made after the date the Registration Statement is declared effective by the SEC;</w:t>
      </w:r>
    </w:p>
    <w:p>
      <w:pPr>
        <w:spacing w:after="0" w:line="279" w:lineRule="exact"/>
        <w:rPr>
          <w:rFonts w:ascii="Times New Roman" w:cs="Times New Roman" w:eastAsia="Times New Roman" w:hAnsi="Times New Roman"/>
          <w:sz w:val="18"/>
          <w:szCs w:val="18"/>
          <w:color w:val="auto"/>
        </w:rPr>
      </w:pPr>
    </w:p>
    <w:p>
      <w:pPr>
        <w:ind w:left="740" w:hanging="354"/>
        <w:spacing w:after="0"/>
        <w:tabs>
          <w:tab w:leader="none" w:pos="7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broker-dealers may agree with a selling security holder to sell a specified number of such shares at a stipulated price per share;</w:t>
      </w:r>
    </w:p>
    <w:p>
      <w:pPr>
        <w:spacing w:after="0" w:line="279" w:lineRule="exact"/>
        <w:rPr>
          <w:rFonts w:ascii="Times New Roman" w:cs="Times New Roman" w:eastAsia="Times New Roman" w:hAnsi="Times New Roman"/>
          <w:sz w:val="18"/>
          <w:szCs w:val="18"/>
          <w:color w:val="auto"/>
        </w:rPr>
      </w:pPr>
    </w:p>
    <w:p>
      <w:pPr>
        <w:ind w:left="740" w:hanging="354"/>
        <w:spacing w:after="0"/>
        <w:tabs>
          <w:tab w:leader="none" w:pos="7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combination of any such methods of sale; and</w:t>
      </w:r>
    </w:p>
    <w:p>
      <w:pPr>
        <w:spacing w:after="0" w:line="279" w:lineRule="exact"/>
        <w:rPr>
          <w:rFonts w:ascii="Times New Roman" w:cs="Times New Roman" w:eastAsia="Times New Roman" w:hAnsi="Times New Roman"/>
          <w:sz w:val="18"/>
          <w:szCs w:val="18"/>
          <w:color w:val="auto"/>
        </w:rPr>
      </w:pPr>
    </w:p>
    <w:p>
      <w:pPr>
        <w:ind w:left="740" w:hanging="354"/>
        <w:spacing w:after="0"/>
        <w:tabs>
          <w:tab w:leader="none" w:pos="7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permitted pursuant to applicable law.</w:t>
      </w:r>
    </w:p>
    <w:p>
      <w:pPr>
        <w:spacing w:after="0" w:line="25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Selling Shareholder may also sell ordinary shares under Rule 144 promulgated under the Securities Act of 1933, as amended, if available, rather than under this prospectus. In addition, the Selling Shareholder may transfer the ordinary shares by other means not described in this prospectus. If the Selling Shareholder effect such transactions by selling ordinary shares to or through underwriters, broker-dealers or agents, such underwriters, broker-dealers or agents may receive commissions in the form of discounts, concessions or commissions from the Selling Shareholder or commissions from purchasers of the ordinary shares for whom they may act as agent or to whom they may sell as principal (which discounts, concessions or commissions as to particular underwriters, broker-dealers or agents may be in excess of those customary in the types of transactions involved). In connection with sales of the ordinary shares or otherwise, the Selling Shareholder may enter into hedging transactions with broker-dealers, which may in turn engage in short sales of the ordinary shares in the course of hedging in positions they assume. The Selling Shareholder may also sell ordinary shares short and deliver ordinary shares covered by this prospectus to close out short positions and to return borrowed shares in connection with such short sales. The Selling Shareholder may also loan or pledge ordinary shares to broker-dealers that in turn may sell such shares.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8" w:name="page29"/>
    <w:bookmarkEnd w:id="28"/>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Selling Shareholder may pledge or grant a security interest in some or all of the notes or ordinary shares owned by them and, if they default in the performance of their secured obligations, the pledgees or secured parties may offer and sell the ordinary shares from time to time pursuant to this prospectus or any amendment to this prospectus under Rule 424(b)(3) or other applicable provision of the Securities Act amending, if necessary, the list of Selling Shareholder to include the pledgee, transferee or other successors in interest as Selling Shareholder under this prospectus. The Selling Shareholder also may transfer and donate the ordinary shares in other circumstances in which case the transferees, donees, pledgees or other successors in interest will be the selling beneficial owners for purposes of this prospectus.</w:t>
      </w:r>
    </w:p>
    <w:p>
      <w:pPr>
        <w:spacing w:after="0" w:line="18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To the extent required by the Securities Act and the rules and regulations thereunder, the Selling Shareholder and any broker-dealer participating in the distribution of the ordinary shares may be deemed to be “underwriters” within the meaning of the Securities Act, and any commission paid, or any discounts or concessions allowed to, any such broker-dealer may be deemed to be underwriting commissions or discounts under the Securities Act. At the time a particular offering of the ordinary shares is made, a prospectus supplement, if required, will be distributed, which will set forth the aggregate amount of ordinary shares being offered and the terms of the offering, including the name or names of any broker-dealers or agents, any discounts, commissions and other terms constituting compensation from the Selling Shareholder and any discounts, commissions or concessions allowed or re-allowed or paid to broker-dealers.</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Under the securities laws of some states, the ordinary shares may be sold in such states only through registered or licensed brokers or dealers. In addition, in some states the ordinary shares may not be sold unless such shares have been registered or qualified for sale in such state or an exemption from registration or qualification is available and is complied with.</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There can be no assurance that the Selling Shareholder will sell any or all of the ordinary shares registered pursuant to the registration statement, of which this prospectus forms a part.</w:t>
      </w:r>
    </w:p>
    <w:p>
      <w:pPr>
        <w:spacing w:after="0" w:line="16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Selling Shareholder and any other person participating in such distribution will be subject to applicable provisions of the Securities Exchange Act of 1934, as amended, and the rules and regulations thereunder, including, without limitation, to the extent applicable, Regulation M of the Exchange Act, which may limit the timing of purchases and sales of any of the ordinary shares by the Selling Shareholder and any other participating person. To the extent applicable, Regulation M may also restrict the ability of any person engaged in the distribution of the ordinary shares to engage in market-making activities with respect to the ordinary shares. All of the foregoing may affect the marketability of the ordinary shares and the ability of any person or entity to engage in market-making activities with respect to the ordinary shares.</w:t>
      </w:r>
    </w:p>
    <w:p>
      <w:pPr>
        <w:spacing w:after="0" w:line="18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will pay all expenses of the registration of the ordinary shares pursuant to the registration rights agreement, estimated to be $50,000 in total, including, without limitation, Securities and Exchange Commission filing fees and expenses of compliance with state securities or “blue sky” laws; provided, however, the Selling Shareholder will pay all underwriting discounts and selling commissions, if any. We will indemnify the Selling Shareholder against liabilities, including some liabilities under the Securities Act in accordance with the registration rights agreements or the Selling Shareholder will be entitled to contribution. We may be indemnified by the Selling Shareholder against civil liabilities, including liabilities under the Securities Act that may arise from any written information furnished to us by the Selling Shareholder specifically for use in this prospectus, in accordance with the related registration rights agreements or we may be entitled to contribution.</w:t>
      </w:r>
    </w:p>
    <w:p>
      <w:pPr>
        <w:spacing w:after="0" w:line="18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Once sold under the registration statement, of which this prospectus forms a part, the ordinary shares will be freely tradable in the hands of persons other than our affiliates.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8"/>
          <w:szCs w:val="18"/>
          <w:b w:val="1"/>
          <w:bCs w:val="1"/>
          <w:color w:val="auto"/>
        </w:rPr>
        <w:t>EXPENSES RELATING TO THIS OFFERING</w:t>
      </w:r>
    </w:p>
    <w:p>
      <w:pPr>
        <w:spacing w:after="0" w:line="229"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We estimate the following expenses in connection with the offer and resale of the Ordinary Shares by the Selling Shareholder. With the exception of the SEC registration fee, all amounts are estimates.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160" w:type="dxa"/>
            <w:vAlign w:val="bottom"/>
          </w:tcPr>
          <w:p>
            <w:pPr>
              <w:spacing w:after="0"/>
              <w:rPr>
                <w:sz w:val="21"/>
                <w:szCs w:val="21"/>
                <w:color w:val="auto"/>
              </w:rPr>
            </w:pPr>
          </w:p>
        </w:tc>
        <w:tc>
          <w:tcPr>
            <w:tcW w:w="106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16"/>
        </w:trPr>
        <w:tc>
          <w:tcPr>
            <w:tcW w:w="99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SEC registration fee</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7,319.30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16"/>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Accountants’ fees and expenses</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Transfer agent fees and expenses</w:t>
            </w: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49"/>
        </w:trPr>
        <w:tc>
          <w:tcPr>
            <w:tcW w:w="100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Printing expenses and miscellaneous costs</w:t>
            </w:r>
          </w:p>
        </w:tc>
        <w:tc>
          <w:tcPr>
            <w:tcW w:w="16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r>
      <w:tr>
        <w:trPr>
          <w:trHeight w:val="237"/>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r>
      <w:tr>
        <w:trPr>
          <w:trHeight w:val="20"/>
        </w:trPr>
        <w:tc>
          <w:tcPr>
            <w:tcW w:w="9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Note:</w:t>
      </w:r>
    </w:p>
    <w:p>
      <w:pPr>
        <w:spacing w:after="0" w:line="227" w:lineRule="exact"/>
        <w:rPr>
          <w:sz w:val="20"/>
          <w:szCs w:val="20"/>
          <w:color w:val="auto"/>
        </w:rPr>
      </w:pPr>
    </w:p>
    <w:p>
      <w:pPr>
        <w:ind w:left="340" w:hanging="332"/>
        <w:spacing w:after="0"/>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fees cannot be defined at this time.</w:t>
      </w:r>
    </w:p>
    <w:p>
      <w:pPr>
        <w:spacing w:after="0" w:line="225"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We have agreed to pay all expenses of registration incurred in connection with the resale of Ordinary Shares under this prospectus, except for any underwriting discounts, if any, selling commissions and stock transfer taxes applicable to the sale of Ordinary Shares by the Selling Shareholder, all of which are to be paid by the Selling Shareholder.</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Certain legal matters relating to U.S. law will be passed upon for the Company by Loeb &amp; Loeb LLP. Certain Cayman Islands legal matters will be passed upon for the Company by Carey Olsen Singapore LLP.</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of GCL Global Holdings Ltd as of March 31, 2025 and 2024, and for each of the three years in the period ended March 31, 2025, as incorporated by reference in this prospectus and elsewhere in the registration statement, have been so incorporated by reference in reliance on the report of Marcum Asia CPAs LLP, an independent registered public accounting firm, given on the authority of such firm as experts in accounting and auditing.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 xml:space="preserve">We are subject to the periodic reporting and other information requirements of the Exchange Act as applicable to a “foreign private issuer,” and we file annual reports and other information from time to time with the SEC in accordance with such requirements. Our SEC filings will be available to the public on the internet at a website maintained by the SEC located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w:t>
      </w:r>
    </w:p>
    <w:p>
      <w:pPr>
        <w:spacing w:after="0" w:line="17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We also maintain an Internet website at </w:t>
      </w:r>
      <w:r>
        <w:rPr>
          <w:rFonts w:ascii="Times New Roman" w:cs="Times New Roman" w:eastAsia="Times New Roman" w:hAnsi="Times New Roman"/>
          <w:sz w:val="18"/>
          <w:szCs w:val="18"/>
          <w:i w:val="1"/>
          <w:iCs w:val="1"/>
          <w:color w:val="auto"/>
        </w:rPr>
        <w:t>https://www.gclglobalholdings.com</w:t>
      </w:r>
      <w:r>
        <w:rPr>
          <w:rFonts w:ascii="Times New Roman" w:cs="Times New Roman" w:eastAsia="Times New Roman" w:hAnsi="Times New Roman"/>
          <w:sz w:val="18"/>
          <w:szCs w:val="18"/>
          <w:color w:val="auto"/>
        </w:rPr>
        <w:t>. Through our website, we make available, free of charge, the following documents as soon as reasonably practicable after they are electronically filed with, or furnished to, the SEC: our Annual Reports on Form 20-F; our reports on Form 6-K; amendments to these documents; and other information as may be required by the SEC. The information contained on, or that may be accessed through, our website is not part of, and is not incorporated into, this prospectus.</w:t>
      </w:r>
    </w:p>
    <w:p>
      <w:pPr>
        <w:spacing w:after="0" w:line="18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a foreign private issuer, we are exempt under the Exchange Act from, among other things, the rules prescribing the furnishing and content of proxy statements, and our officers, directors and principal shareholders are exempt from the short-swing profit recovery provisions contained in Section 16 of the Exchange Act. In addition, we will not be required under the Exchange Act to file periodic reports and financial statements with the SEC as frequently or as promptly as U.S. companies whose securities are registered under the Exchange Act</w:t>
      </w:r>
      <w:r>
        <w:rPr>
          <w:rFonts w:ascii="Times New Roman" w:cs="Times New Roman" w:eastAsia="Times New Roman" w:hAnsi="Times New Roman"/>
          <w:sz w:val="18"/>
          <w:szCs w:val="18"/>
          <w:i w:val="1"/>
          <w:iCs w:val="1"/>
          <w:color w:val="auto"/>
        </w:rPr>
        <w: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OF CERTAIN DOCUMENTS BY REFERENCE</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This registration statement incorporates by reference important information about the Company that is not included in or delivered with this document. The SEC allows us to “incorporate by reference” the information we file with them. This means that we can disclose important information to you by referring you to those documents. Each document incorporated by reference is current only as of the date of such document, and the incorporation by reference of such documents shall not create any implication that there has been no change in our affairs since the date thereof or that the information contained therein is current as of any time subsequent to its date. The information incorporated by reference is considered to be a part of this prospectus and should be read with the same care. When we update the information contained in documents that have been incorporated by reference by making future filings with the SEC, the information incorporated by reference in this prospectus is considered to be automatically updated and superseded. In other words, in the case of a conflict or inconsistency between information contained in this prospectus and information incorporated by reference into this prospectus, you should rely on the information contained in the document that was filed later.</w:t>
      </w:r>
    </w:p>
    <w:p>
      <w:pPr>
        <w:spacing w:after="0" w:line="18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incorporate by reference into this prospectus the following documents:</w:t>
      </w:r>
    </w:p>
    <w:p>
      <w:pPr>
        <w:spacing w:after="0" w:line="225"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Form 20-F for the year ended March 31, 2025 filed with the SEC on </w:t>
      </w:r>
      <w:hyperlink r:id="rId46">
        <w:r>
          <w:rPr>
            <w:rFonts w:ascii="Times New Roman" w:cs="Times New Roman" w:eastAsia="Times New Roman" w:hAnsi="Times New Roman"/>
            <w:sz w:val="18"/>
            <w:szCs w:val="18"/>
            <w:u w:val="single" w:color="auto"/>
            <w:color w:val="0000EE"/>
          </w:rPr>
          <w:t>July 31, 2025</w:t>
        </w:r>
      </w:hyperlink>
      <w:r>
        <w:rPr>
          <w:rFonts w:ascii="Times New Roman" w:cs="Times New Roman" w:eastAsia="Times New Roman" w:hAnsi="Times New Roman"/>
          <w:sz w:val="18"/>
          <w:szCs w:val="18"/>
          <w:color w:val="auto"/>
        </w:rPr>
        <w:t xml:space="preserve">, as amended on </w:t>
      </w:r>
      <w:hyperlink r:id="rId47">
        <w:r>
          <w:rPr>
            <w:rFonts w:ascii="Times New Roman" w:cs="Times New Roman" w:eastAsia="Times New Roman" w:hAnsi="Times New Roman"/>
            <w:sz w:val="18"/>
            <w:szCs w:val="18"/>
            <w:u w:val="single" w:color="auto"/>
            <w:color w:val="0000EE"/>
          </w:rPr>
          <w:t>April 9</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48">
        <w:r>
          <w:rPr>
            <w:rFonts w:ascii="Times New Roman" w:cs="Times New Roman" w:eastAsia="Times New Roman" w:hAnsi="Times New Roman"/>
            <w:sz w:val="18"/>
            <w:szCs w:val="18"/>
            <w:u w:val="single" w:color="auto"/>
            <w:color w:val="0000EE"/>
          </w:rPr>
          <w:t>May 4, 2026</w:t>
        </w:r>
      </w:hyperlink>
      <w:r>
        <w:rPr>
          <w:rFonts w:ascii="Times New Roman" w:cs="Times New Roman" w:eastAsia="Times New Roman" w:hAnsi="Times New Roman"/>
          <w:sz w:val="18"/>
          <w:szCs w:val="18"/>
          <w:color w:val="auto"/>
        </w:rPr>
        <w:t>;</w:t>
      </w:r>
    </w:p>
    <w:p>
      <w:pPr>
        <w:spacing w:after="0" w:line="279" w:lineRule="exact"/>
        <w:rPr>
          <w:rFonts w:ascii="Times New Roman" w:cs="Times New Roman" w:eastAsia="Times New Roman" w:hAnsi="Times New Roman"/>
          <w:sz w:val="18"/>
          <w:szCs w:val="18"/>
          <w:color w:val="auto"/>
        </w:rPr>
      </w:pPr>
    </w:p>
    <w:p>
      <w:pPr>
        <w:ind w:left="660" w:hanging="328"/>
        <w:spacing w:after="0" w:line="278" w:lineRule="auto"/>
        <w:tabs>
          <w:tab w:leader="none" w:pos="660" w:val="left"/>
        </w:tabs>
        <w:numPr>
          <w:ilvl w:val="0"/>
          <w:numId w:val="12"/>
        </w:numPr>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 xml:space="preserve">Current Reports on Form 6-K furnished to the SEC on </w:t>
      </w:r>
      <w:hyperlink r:id="rId49">
        <w:r>
          <w:rPr>
            <w:rFonts w:ascii="Times New Roman" w:cs="Times New Roman" w:eastAsia="Times New Roman" w:hAnsi="Times New Roman"/>
            <w:sz w:val="18"/>
            <w:szCs w:val="18"/>
            <w:u w:val="single" w:color="auto"/>
            <w:color w:val="0000FF"/>
          </w:rPr>
          <w:t>August 25</w:t>
        </w:r>
      </w:hyperlink>
      <w:r>
        <w:rPr>
          <w:rFonts w:ascii="Times New Roman" w:cs="Times New Roman" w:eastAsia="Times New Roman" w:hAnsi="Times New Roman"/>
          <w:sz w:val="18"/>
          <w:szCs w:val="18"/>
          <w:color w:val="auto"/>
        </w:rPr>
        <w:t xml:space="preserve">, </w:t>
      </w:r>
      <w:hyperlink r:id="rId50">
        <w:r>
          <w:rPr>
            <w:rFonts w:ascii="Times New Roman" w:cs="Times New Roman" w:eastAsia="Times New Roman" w:hAnsi="Times New Roman"/>
            <w:sz w:val="18"/>
            <w:szCs w:val="18"/>
            <w:u w:val="single" w:color="auto"/>
            <w:color w:val="0000FF"/>
          </w:rPr>
          <w:t>27</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51">
        <w:r>
          <w:rPr>
            <w:rFonts w:ascii="Times New Roman" w:cs="Times New Roman" w:eastAsia="Times New Roman" w:hAnsi="Times New Roman"/>
            <w:sz w:val="18"/>
            <w:szCs w:val="18"/>
            <w:u w:val="single" w:color="auto"/>
            <w:color w:val="0000FF"/>
          </w:rPr>
          <w:t>29</w:t>
        </w:r>
      </w:hyperlink>
      <w:r>
        <w:rPr>
          <w:rFonts w:ascii="Times New Roman" w:cs="Times New Roman" w:eastAsia="Times New Roman" w:hAnsi="Times New Roman"/>
          <w:sz w:val="18"/>
          <w:szCs w:val="18"/>
          <w:color w:val="auto"/>
        </w:rPr>
        <w:t xml:space="preserve">, </w:t>
      </w:r>
      <w:hyperlink r:id="rId52">
        <w:r>
          <w:rPr>
            <w:rFonts w:ascii="Times New Roman" w:cs="Times New Roman" w:eastAsia="Times New Roman" w:hAnsi="Times New Roman"/>
            <w:sz w:val="18"/>
            <w:szCs w:val="18"/>
            <w:u w:val="single" w:color="auto"/>
            <w:color w:val="0000FF"/>
          </w:rPr>
          <w:t>September 5</w:t>
        </w:r>
      </w:hyperlink>
      <w:r>
        <w:rPr>
          <w:rFonts w:ascii="Times New Roman" w:cs="Times New Roman" w:eastAsia="Times New Roman" w:hAnsi="Times New Roman"/>
          <w:sz w:val="18"/>
          <w:szCs w:val="18"/>
          <w:color w:val="auto"/>
        </w:rPr>
        <w:t xml:space="preserve">, </w:t>
      </w:r>
      <w:hyperlink r:id="rId53">
        <w:r>
          <w:rPr>
            <w:rFonts w:ascii="Times New Roman" w:cs="Times New Roman" w:eastAsia="Times New Roman" w:hAnsi="Times New Roman"/>
            <w:sz w:val="18"/>
            <w:szCs w:val="18"/>
            <w:u w:val="single" w:color="auto"/>
            <w:color w:val="0000FF"/>
          </w:rPr>
          <w:t>9</w:t>
        </w:r>
      </w:hyperlink>
      <w:r>
        <w:rPr>
          <w:rFonts w:ascii="Times New Roman" w:cs="Times New Roman" w:eastAsia="Times New Roman" w:hAnsi="Times New Roman"/>
          <w:sz w:val="18"/>
          <w:szCs w:val="18"/>
          <w:color w:val="auto"/>
        </w:rPr>
        <w:t xml:space="preserve">, </w:t>
      </w:r>
      <w:hyperlink r:id="rId54">
        <w:r>
          <w:rPr>
            <w:rFonts w:ascii="Times New Roman" w:cs="Times New Roman" w:eastAsia="Times New Roman" w:hAnsi="Times New Roman"/>
            <w:sz w:val="18"/>
            <w:szCs w:val="18"/>
            <w:u w:val="single" w:color="auto"/>
            <w:color w:val="0000FF"/>
          </w:rPr>
          <w:t>11</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55">
        <w:r>
          <w:rPr>
            <w:rFonts w:ascii="Times New Roman" w:cs="Times New Roman" w:eastAsia="Times New Roman" w:hAnsi="Times New Roman"/>
            <w:sz w:val="18"/>
            <w:szCs w:val="18"/>
            <w:u w:val="single" w:color="auto"/>
            <w:color w:val="0000FF"/>
          </w:rPr>
          <w:t>15</w:t>
        </w:r>
      </w:hyperlink>
      <w:r>
        <w:rPr>
          <w:rFonts w:ascii="Times New Roman" w:cs="Times New Roman" w:eastAsia="Times New Roman" w:hAnsi="Times New Roman"/>
          <w:sz w:val="18"/>
          <w:szCs w:val="18"/>
          <w:color w:val="auto"/>
        </w:rPr>
        <w:t xml:space="preserve">, </w:t>
      </w:r>
      <w:hyperlink r:id="rId56">
        <w:r>
          <w:rPr>
            <w:rFonts w:ascii="Times New Roman" w:cs="Times New Roman" w:eastAsia="Times New Roman" w:hAnsi="Times New Roman"/>
            <w:sz w:val="18"/>
            <w:szCs w:val="18"/>
            <w:u w:val="single" w:color="auto"/>
            <w:color w:val="0000FF"/>
          </w:rPr>
          <w:t>October 10</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57">
        <w:r>
          <w:rPr>
            <w:rFonts w:ascii="Times New Roman" w:cs="Times New Roman" w:eastAsia="Times New Roman" w:hAnsi="Times New Roman"/>
            <w:sz w:val="18"/>
            <w:szCs w:val="18"/>
            <w:u w:val="single" w:color="auto"/>
            <w:color w:val="0000FF"/>
          </w:rPr>
          <w:t>16</w:t>
        </w:r>
      </w:hyperlink>
      <w:r>
        <w:rPr>
          <w:rFonts w:ascii="Times New Roman" w:cs="Times New Roman" w:eastAsia="Times New Roman" w:hAnsi="Times New Roman"/>
          <w:sz w:val="18"/>
          <w:szCs w:val="18"/>
          <w:color w:val="auto"/>
        </w:rPr>
        <w:t xml:space="preserve">, </w:t>
      </w:r>
      <w:hyperlink r:id="rId58">
        <w:r>
          <w:rPr>
            <w:rFonts w:ascii="Times New Roman" w:cs="Times New Roman" w:eastAsia="Times New Roman" w:hAnsi="Times New Roman"/>
            <w:sz w:val="18"/>
            <w:szCs w:val="18"/>
            <w:u w:val="single" w:color="auto"/>
            <w:color w:val="0000FF"/>
          </w:rPr>
          <w:t>November 25</w:t>
        </w:r>
      </w:hyperlink>
      <w:r>
        <w:rPr>
          <w:rFonts w:ascii="Times New Roman" w:cs="Times New Roman" w:eastAsia="Times New Roman" w:hAnsi="Times New Roman"/>
          <w:sz w:val="18"/>
          <w:szCs w:val="18"/>
          <w:color w:val="auto"/>
        </w:rPr>
        <w:t xml:space="preserve">, </w:t>
      </w:r>
      <w:hyperlink r:id="rId59">
        <w:r>
          <w:rPr>
            <w:rFonts w:ascii="Times New Roman" w:cs="Times New Roman" w:eastAsia="Times New Roman" w:hAnsi="Times New Roman"/>
            <w:sz w:val="18"/>
            <w:szCs w:val="18"/>
            <w:u w:val="single" w:color="auto"/>
            <w:color w:val="0000FF"/>
          </w:rPr>
          <w:t>December 2</w:t>
        </w:r>
        <w:r>
          <w:rPr>
            <w:rFonts w:ascii="Times New Roman" w:cs="Times New Roman" w:eastAsia="Times New Roman" w:hAnsi="Times New Roman"/>
            <w:sz w:val="18"/>
            <w:szCs w:val="18"/>
            <w:color w:val="0000FF"/>
          </w:rPr>
          <w:t xml:space="preserve"> </w:t>
        </w:r>
      </w:hyperlink>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FF"/>
        </w:rPr>
        <w:t xml:space="preserve"> </w:t>
      </w:r>
      <w:hyperlink r:id="rId60">
        <w:r>
          <w:rPr>
            <w:rFonts w:ascii="Times New Roman" w:cs="Times New Roman" w:eastAsia="Times New Roman" w:hAnsi="Times New Roman"/>
            <w:sz w:val="18"/>
            <w:szCs w:val="18"/>
            <w:u w:val="single" w:color="auto"/>
            <w:color w:val="0000FF"/>
          </w:rPr>
          <w:t>4, 2025</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hyperlink r:id="rId61">
        <w:r>
          <w:rPr>
            <w:rFonts w:ascii="Times New Roman" w:cs="Times New Roman" w:eastAsia="Times New Roman" w:hAnsi="Times New Roman"/>
            <w:sz w:val="18"/>
            <w:szCs w:val="18"/>
            <w:u w:val="single" w:color="auto"/>
            <w:color w:val="0000FF"/>
          </w:rPr>
          <w:t>January 30</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hyperlink r:id="rId62">
        <w:r>
          <w:rPr>
            <w:rFonts w:ascii="Times New Roman" w:cs="Times New Roman" w:eastAsia="Times New Roman" w:hAnsi="Times New Roman"/>
            <w:sz w:val="18"/>
            <w:szCs w:val="18"/>
            <w:u w:val="single" w:color="auto"/>
            <w:color w:val="0000FF"/>
          </w:rPr>
          <w:t>March 23</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hyperlink r:id="rId63">
        <w:r>
          <w:rPr>
            <w:rFonts w:ascii="Times New Roman" w:cs="Times New Roman" w:eastAsia="Times New Roman" w:hAnsi="Times New Roman"/>
            <w:sz w:val="18"/>
            <w:szCs w:val="18"/>
            <w:u w:val="single" w:color="auto"/>
            <w:color w:val="0000FF"/>
          </w:rPr>
          <w:t>26</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hyperlink r:id="rId64">
        <w:r>
          <w:rPr>
            <w:rFonts w:ascii="Times New Roman" w:cs="Times New Roman" w:eastAsia="Times New Roman" w:hAnsi="Times New Roman"/>
            <w:sz w:val="18"/>
            <w:szCs w:val="18"/>
            <w:u w:val="single" w:color="auto"/>
            <w:color w:val="0000FF"/>
          </w:rPr>
          <w:t xml:space="preserve">30 </w:t>
        </w:r>
      </w:hyperlink>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FF"/>
        </w:rPr>
        <w:t xml:space="preserve"> </w:t>
      </w:r>
      <w:hyperlink r:id="rId65">
        <w:r>
          <w:rPr>
            <w:rFonts w:ascii="Times New Roman" w:cs="Times New Roman" w:eastAsia="Times New Roman" w:hAnsi="Times New Roman"/>
            <w:sz w:val="18"/>
            <w:szCs w:val="18"/>
            <w:u w:val="single" w:color="auto"/>
            <w:color w:val="0000FF"/>
          </w:rPr>
          <w:t>31</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FF"/>
        </w:rPr>
        <w:t xml:space="preserve"> </w:t>
      </w:r>
      <w:hyperlink r:id="rId66">
        <w:r>
          <w:rPr>
            <w:rFonts w:ascii="Times New Roman" w:cs="Times New Roman" w:eastAsia="Times New Roman" w:hAnsi="Times New Roman"/>
            <w:sz w:val="18"/>
            <w:szCs w:val="18"/>
            <w:u w:val="single" w:color="auto"/>
            <w:color w:val="0000FF"/>
          </w:rPr>
          <w:t>April 14</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hyperlink r:id="rId67">
        <w:r>
          <w:rPr>
            <w:rFonts w:ascii="Times New Roman" w:cs="Times New Roman" w:eastAsia="Times New Roman" w:hAnsi="Times New Roman"/>
            <w:sz w:val="18"/>
            <w:szCs w:val="18"/>
            <w:u w:val="single" w:color="auto"/>
            <w:color w:val="0000FF"/>
          </w:rPr>
          <w:t>29</w:t>
        </w:r>
      </w:hyperlink>
      <w:r>
        <w:rPr>
          <w:rFonts w:ascii="Calibri" w:cs="Calibri" w:eastAsia="Calibri" w:hAnsi="Calibri"/>
          <w:sz w:val="21"/>
          <w:szCs w:val="21"/>
          <w:color w:val="000000"/>
        </w:rPr>
        <w:t>,</w:t>
      </w:r>
      <w:r>
        <w:rPr>
          <w:rFonts w:ascii="Times New Roman" w:cs="Times New Roman" w:eastAsia="Times New Roman" w:hAnsi="Times New Roman"/>
          <w:sz w:val="18"/>
          <w:szCs w:val="18"/>
          <w:color w:val="0000FF"/>
        </w:rPr>
        <w:t xml:space="preserve"> </w:t>
      </w:r>
      <w:hyperlink r:id="rId68">
        <w:r>
          <w:rPr>
            <w:rFonts w:ascii="Times New Roman" w:cs="Times New Roman" w:eastAsia="Times New Roman" w:hAnsi="Times New Roman"/>
            <w:sz w:val="18"/>
            <w:szCs w:val="18"/>
            <w:u w:val="single" w:color="auto"/>
            <w:color w:val="0000EE"/>
          </w:rPr>
          <w:t>May 19</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FF"/>
        </w:rPr>
        <w:t xml:space="preserve"> </w:t>
      </w:r>
      <w:hyperlink r:id="rId69">
        <w:r>
          <w:rPr>
            <w:rFonts w:ascii="Times New Roman" w:cs="Times New Roman" w:eastAsia="Times New Roman" w:hAnsi="Times New Roman"/>
            <w:sz w:val="18"/>
            <w:szCs w:val="18"/>
            <w:u w:val="single" w:color="auto"/>
            <w:color w:val="0000EE"/>
          </w:rPr>
          <w:t>May 26, 2026</w:t>
        </w:r>
      </w:hyperlink>
      <w:r>
        <w:rPr>
          <w:rFonts w:ascii="Times New Roman" w:cs="Times New Roman" w:eastAsia="Times New Roman" w:hAnsi="Times New Roman"/>
          <w:sz w:val="18"/>
          <w:szCs w:val="18"/>
          <w:color w:val="000000"/>
        </w:rPr>
        <w:t>;</w:t>
      </w:r>
    </w:p>
    <w:p>
      <w:pPr>
        <w:spacing w:after="0" w:line="192" w:lineRule="exact"/>
        <w:rPr>
          <w:rFonts w:ascii="Times New Roman" w:cs="Times New Roman" w:eastAsia="Times New Roman" w:hAnsi="Times New Roman"/>
          <w:sz w:val="18"/>
          <w:szCs w:val="18"/>
          <w:color w:val="0000FF"/>
        </w:rPr>
      </w:pPr>
    </w:p>
    <w:p>
      <w:pPr>
        <w:ind w:left="66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Ordinary Shares contained in our Registration Statement on </w:t>
      </w:r>
      <w:hyperlink r:id="rId70">
        <w:r>
          <w:rPr>
            <w:rFonts w:ascii="Times New Roman" w:cs="Times New Roman" w:eastAsia="Times New Roman" w:hAnsi="Times New Roman"/>
            <w:sz w:val="18"/>
            <w:szCs w:val="18"/>
            <w:u w:val="single" w:color="auto"/>
            <w:color w:val="0000EE"/>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on February 13, 2025, including any amendments or reports filed for the purpose of updating the description;</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future annual reports on Form 20-F filed with the SEC after the date of this prospectus and prior to the termination of the offering of the securities offered by this prospectus; and</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future reports on Form 6-K that we furnish to the SEC after the date of this prospectus that are identified in such reports as being incorporated by reference into the registration statement of which this prospectus forms a part.</w:t>
      </w:r>
    </w:p>
    <w:p>
      <w:pPr>
        <w:spacing w:after="0" w:line="189" w:lineRule="exact"/>
        <w:rPr>
          <w:rFonts w:ascii="Times New Roman" w:cs="Times New Roman" w:eastAsia="Times New Roman" w:hAnsi="Times New Roman"/>
          <w:sz w:val="18"/>
          <w:szCs w:val="18"/>
          <w:color w:val="0000FF"/>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filings with the SEC, including annual reports on Form 20-F and current reports on Form 6-K and amendments to those reports, are available electronically on the SEC’s website at www.sec.gov. Copies of all documents incorporated by reference in this prospectus, other than exhibits to those documents unless such exhibits are specially incorporated by reference in this prospectus, will be provided at no cost to each person, including any beneficial owner, who receives a copy of this prospectus on the written or oral request of that person made to:</w:t>
      </w:r>
    </w:p>
    <w:p>
      <w:pPr>
        <w:spacing w:after="0" w:line="180" w:lineRule="exact"/>
        <w:rPr>
          <w:rFonts w:ascii="Times New Roman" w:cs="Times New Roman" w:eastAsia="Times New Roman" w:hAnsi="Times New Roman"/>
          <w:sz w:val="18"/>
          <w:szCs w:val="18"/>
          <w:color w:val="0000FF"/>
        </w:rPr>
      </w:pPr>
    </w:p>
    <w:p>
      <w:pPr>
        <w:ind w:left="4700"/>
        <w:spacing w:after="0"/>
        <w:rPr>
          <w:sz w:val="20"/>
          <w:szCs w:val="20"/>
          <w:color w:val="auto"/>
        </w:rPr>
      </w:pPr>
      <w:r>
        <w:rPr>
          <w:rFonts w:ascii="Times New Roman" w:cs="Times New Roman" w:eastAsia="Times New Roman" w:hAnsi="Times New Roman"/>
          <w:sz w:val="18"/>
          <w:szCs w:val="18"/>
          <w:color w:val="auto"/>
        </w:rPr>
        <w:t>Group Chief Financial Officer</w:t>
      </w:r>
    </w:p>
    <w:p>
      <w:pPr>
        <w:spacing w:after="0" w:line="27" w:lineRule="exact"/>
        <w:rPr>
          <w:rFonts w:ascii="Times New Roman" w:cs="Times New Roman" w:eastAsia="Times New Roman" w:hAnsi="Times New Roman"/>
          <w:sz w:val="18"/>
          <w:szCs w:val="18"/>
          <w:color w:val="0000FF"/>
        </w:rPr>
      </w:pPr>
    </w:p>
    <w:p>
      <w:pPr>
        <w:ind w:left="4840"/>
        <w:spacing w:after="0"/>
        <w:rPr>
          <w:sz w:val="20"/>
          <w:szCs w:val="20"/>
          <w:color w:val="auto"/>
        </w:rPr>
      </w:pPr>
      <w:r>
        <w:rPr>
          <w:rFonts w:ascii="Times New Roman" w:cs="Times New Roman" w:eastAsia="Times New Roman" w:hAnsi="Times New Roman"/>
          <w:sz w:val="18"/>
          <w:szCs w:val="18"/>
          <w:color w:val="auto"/>
        </w:rPr>
        <w:t>GCL Global Holdings Ltd</w:t>
      </w:r>
    </w:p>
    <w:p>
      <w:pPr>
        <w:spacing w:after="0" w:line="9" w:lineRule="exact"/>
        <w:rPr>
          <w:rFonts w:ascii="Times New Roman" w:cs="Times New Roman" w:eastAsia="Times New Roman" w:hAnsi="Times New Roman"/>
          <w:sz w:val="18"/>
          <w:szCs w:val="18"/>
          <w:color w:val="0000FF"/>
        </w:rPr>
      </w:pPr>
    </w:p>
    <w:p>
      <w:pPr>
        <w:ind w:left="4780"/>
        <w:spacing w:after="0"/>
        <w:rPr>
          <w:sz w:val="20"/>
          <w:szCs w:val="20"/>
          <w:color w:val="auto"/>
        </w:rPr>
      </w:pPr>
      <w:r>
        <w:rPr>
          <w:rFonts w:ascii="Times New Roman" w:cs="Times New Roman" w:eastAsia="Times New Roman" w:hAnsi="Times New Roman"/>
          <w:sz w:val="18"/>
          <w:szCs w:val="18"/>
          <w:color w:val="auto"/>
        </w:rPr>
        <w:t>29 Tai Seng Avenue #02-01</w:t>
      </w:r>
    </w:p>
    <w:p>
      <w:pPr>
        <w:spacing w:after="0" w:line="9" w:lineRule="exact"/>
        <w:rPr>
          <w:rFonts w:ascii="Times New Roman" w:cs="Times New Roman" w:eastAsia="Times New Roman" w:hAnsi="Times New Roman"/>
          <w:sz w:val="18"/>
          <w:szCs w:val="18"/>
          <w:color w:val="0000FF"/>
        </w:rPr>
      </w:pPr>
    </w:p>
    <w:p>
      <w:pPr>
        <w:ind w:left="4800"/>
        <w:spacing w:after="0"/>
        <w:rPr>
          <w:sz w:val="20"/>
          <w:szCs w:val="20"/>
          <w:color w:val="auto"/>
        </w:rPr>
      </w:pPr>
      <w:r>
        <w:rPr>
          <w:rFonts w:ascii="Times New Roman" w:cs="Times New Roman" w:eastAsia="Times New Roman" w:hAnsi="Times New Roman"/>
          <w:sz w:val="18"/>
          <w:szCs w:val="18"/>
          <w:color w:val="auto"/>
        </w:rPr>
        <w:t>Natural Cool Lifestyle Hub</w:t>
      </w:r>
    </w:p>
    <w:p>
      <w:pPr>
        <w:spacing w:after="0" w:line="9" w:lineRule="exact"/>
        <w:rPr>
          <w:rFonts w:ascii="Times New Roman" w:cs="Times New Roman" w:eastAsia="Times New Roman" w:hAnsi="Times New Roman"/>
          <w:sz w:val="18"/>
          <w:szCs w:val="18"/>
          <w:color w:val="0000FF"/>
        </w:rPr>
      </w:pPr>
    </w:p>
    <w:p>
      <w:pPr>
        <w:ind w:left="5140"/>
        <w:spacing w:after="0"/>
        <w:rPr>
          <w:sz w:val="20"/>
          <w:szCs w:val="20"/>
          <w:color w:val="auto"/>
        </w:rPr>
      </w:pPr>
      <w:r>
        <w:rPr>
          <w:rFonts w:ascii="Times New Roman" w:cs="Times New Roman" w:eastAsia="Times New Roman" w:hAnsi="Times New Roman"/>
          <w:sz w:val="18"/>
          <w:szCs w:val="18"/>
          <w:color w:val="auto"/>
        </w:rPr>
        <w:t>Singapore 534119</w:t>
      </w:r>
    </w:p>
    <w:p>
      <w:pPr>
        <w:spacing w:after="0" w:line="9" w:lineRule="exact"/>
        <w:rPr>
          <w:rFonts w:ascii="Times New Roman" w:cs="Times New Roman" w:eastAsia="Times New Roman" w:hAnsi="Times New Roman"/>
          <w:sz w:val="18"/>
          <w:szCs w:val="18"/>
          <w:color w:val="0000FF"/>
        </w:rPr>
      </w:pPr>
    </w:p>
    <w:p>
      <w:pPr>
        <w:ind w:left="4940"/>
        <w:spacing w:after="0"/>
        <w:rPr>
          <w:sz w:val="20"/>
          <w:szCs w:val="20"/>
          <w:color w:val="auto"/>
        </w:rPr>
      </w:pPr>
      <w:r>
        <w:rPr>
          <w:rFonts w:ascii="Times New Roman" w:cs="Times New Roman" w:eastAsia="Times New Roman" w:hAnsi="Times New Roman"/>
          <w:sz w:val="18"/>
          <w:szCs w:val="18"/>
          <w:color w:val="auto"/>
        </w:rPr>
        <w:t>Tel: +65 80427330</w:t>
      </w:r>
    </w:p>
    <w:p>
      <w:pPr>
        <w:spacing w:after="0" w:line="207" w:lineRule="exact"/>
        <w:rPr>
          <w:rFonts w:ascii="Times New Roman" w:cs="Times New Roman" w:eastAsia="Times New Roman" w:hAnsi="Times New Roman"/>
          <w:sz w:val="18"/>
          <w:szCs w:val="18"/>
          <w:color w:val="0000FF"/>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You should rely only on the information that we incorporate by reference or provide in this prospectus or any supplement or amendment hereto. We have not authorized anyone to provide you with different information. We are not making any offer to sell these securities in any jurisdiction where the offer or sale is not permitted. You should not assume that the information contained or incorporated by reference in this prospectus or any supplement or amendment hereto is accurate as of any date other than the date of the document containing the information.</w:t>
      </w:r>
    </w:p>
    <w:p>
      <w:pPr>
        <w:spacing w:after="0" w:line="396" w:lineRule="exact"/>
        <w:rPr>
          <w:rFonts w:ascii="Times New Roman" w:cs="Times New Roman" w:eastAsia="Times New Roman" w:hAnsi="Times New Roman"/>
          <w:sz w:val="18"/>
          <w:szCs w:val="18"/>
          <w:color w:val="0000FF"/>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0000FF"/>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Indemnification of Directors and Officers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laws of the Cayman Islands do not limit the extent to which a company’s memorandum and articles of association may provide for indemnification of officers and directors, except to the extent any such provision may be held by the Cayman Islands courts to be contrary to public policy, such as to provide indemnification against willful default, willful neglect, fraud or the consequences of committing a crime.</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Company’s Articles Amended and Restated Memorandum and Articles of Association provide for indemnification and advancement of expenses for its current and former directors and officers to the fullest extent permitted under the laws of the Cayman Islands, in the absence of actual fraud or wilful default. The Company has entered into indemnification agreements with each director and officers of the Company.</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or persons controlling us pursuant to the foregoing provisions, we have been informed that in the opinion of the SEC such indemnification is against public policy as expressed in the Securities Act and is therefore unenforceable.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Exhibits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3.1</w:t>
            </w:r>
          </w:p>
        </w:tc>
        <w:tc>
          <w:tcPr>
            <w:tcW w:w="10100" w:type="dxa"/>
            <w:vAlign w:val="bottom"/>
            <w:tcBorders>
              <w:bottom w:val="single" w:sz="8" w:color="0000EE"/>
            </w:tcBorders>
            <w:gridSpan w:val="17"/>
            <w:shd w:val="clear" w:color="auto" w:fill="CCEEFF"/>
          </w:tcPr>
          <w:p>
            <w:pPr>
              <w:spacing w:after="0"/>
              <w:rPr>
                <w:rFonts w:ascii="Times New Roman" w:cs="Times New Roman" w:eastAsia="Times New Roman" w:hAnsi="Times New Roman"/>
                <w:sz w:val="18"/>
                <w:szCs w:val="18"/>
                <w:color w:val="0000EE"/>
              </w:rPr>
            </w:pPr>
            <w:hyperlink r:id="rId72">
              <w:r>
                <w:rPr>
                  <w:rFonts w:ascii="Times New Roman" w:cs="Times New Roman" w:eastAsia="Times New Roman" w:hAnsi="Times New Roman"/>
                  <w:sz w:val="18"/>
                  <w:szCs w:val="18"/>
                  <w:color w:val="0000EE"/>
                </w:rPr>
                <w:t>Amended and Restated Memorandum and Articles of Association of GCL Global Holdings Ltd (incorporated by reference to Exhibit 1.1 of</w:t>
              </w:r>
            </w:hyperlink>
          </w:p>
        </w:tc>
      </w:tr>
      <w:tr>
        <w:trPr>
          <w:trHeight w:val="216"/>
        </w:trPr>
        <w:tc>
          <w:tcPr>
            <w:tcW w:w="1140" w:type="dxa"/>
            <w:vAlign w:val="bottom"/>
            <w:tcBorders>
              <w:bottom w:val="single" w:sz="8" w:color="CCEEFF"/>
            </w:tcBorders>
            <w:shd w:val="clear" w:color="auto" w:fill="CCEEFF"/>
          </w:tcPr>
          <w:p>
            <w:pPr>
              <w:spacing w:after="0"/>
              <w:rPr>
                <w:sz w:val="18"/>
                <w:szCs w:val="18"/>
                <w:color w:val="auto"/>
              </w:rPr>
            </w:pPr>
          </w:p>
        </w:tc>
        <w:tc>
          <w:tcPr>
            <w:tcW w:w="6940" w:type="dxa"/>
            <w:vAlign w:val="bottom"/>
            <w:tcBorders>
              <w:bottom w:val="single" w:sz="8" w:color="0000EE"/>
            </w:tcBorders>
            <w:gridSpan w:val="12"/>
            <w:shd w:val="clear" w:color="auto" w:fill="CCEEFF"/>
          </w:tcPr>
          <w:p>
            <w:pPr>
              <w:spacing w:after="0" w:line="196" w:lineRule="exact"/>
              <w:rPr>
                <w:rFonts w:ascii="Times New Roman" w:cs="Times New Roman" w:eastAsia="Times New Roman" w:hAnsi="Times New Roman"/>
                <w:sz w:val="18"/>
                <w:szCs w:val="18"/>
                <w:color w:val="0000EE"/>
                <w:w w:val="99"/>
              </w:rPr>
            </w:pPr>
            <w:hyperlink r:id="rId72">
              <w:r>
                <w:rPr>
                  <w:rFonts w:ascii="Times New Roman" w:cs="Times New Roman" w:eastAsia="Times New Roman" w:hAnsi="Times New Roman"/>
                  <w:sz w:val="18"/>
                  <w:szCs w:val="18"/>
                  <w:color w:val="0000EE"/>
                  <w:w w:val="99"/>
                </w:rPr>
                <w:t>the Company’s Shell Company Report on Form 20-F, filed with the SEC on February 26, 2025).</w:t>
              </w:r>
            </w:hyperlink>
          </w:p>
        </w:tc>
        <w:tc>
          <w:tcPr>
            <w:tcW w:w="3160" w:type="dxa"/>
            <w:vAlign w:val="bottom"/>
            <w:tcBorders>
              <w:bottom w:val="single" w:sz="8" w:color="CCEEFF"/>
            </w:tcBorders>
            <w:gridSpan w:val="5"/>
            <w:shd w:val="clear" w:color="auto" w:fill="CCEEFF"/>
          </w:tcPr>
          <w:p>
            <w:pPr>
              <w:spacing w:after="0"/>
              <w:rPr>
                <w:sz w:val="18"/>
                <w:szCs w:val="18"/>
                <w:color w:val="auto"/>
              </w:rPr>
            </w:pPr>
          </w:p>
        </w:tc>
      </w:tr>
      <w:tr>
        <w:trPr>
          <w:trHeight w:val="176"/>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4.1</w:t>
            </w:r>
          </w:p>
        </w:tc>
        <w:tc>
          <w:tcPr>
            <w:tcW w:w="10100" w:type="dxa"/>
            <w:vAlign w:val="bottom"/>
            <w:tcBorders>
              <w:bottom w:val="single" w:sz="8" w:color="0000EE"/>
            </w:tcBorders>
            <w:gridSpan w:val="17"/>
          </w:tcPr>
          <w:p>
            <w:pPr>
              <w:spacing w:after="0" w:line="176" w:lineRule="exact"/>
              <w:rPr>
                <w:rFonts w:ascii="Times New Roman" w:cs="Times New Roman" w:eastAsia="Times New Roman" w:hAnsi="Times New Roman"/>
                <w:sz w:val="18"/>
                <w:szCs w:val="18"/>
                <w:color w:val="0000EE"/>
              </w:rPr>
            </w:pPr>
            <w:hyperlink r:id="rId73">
              <w:r>
                <w:rPr>
                  <w:rFonts w:ascii="Times New Roman" w:cs="Times New Roman" w:eastAsia="Times New Roman" w:hAnsi="Times New Roman"/>
                  <w:sz w:val="18"/>
                  <w:szCs w:val="18"/>
                  <w:color w:val="0000EE"/>
                </w:rPr>
                <w:t>Form of Senior Convertible Note issued on May 22, 2025 (incorporated by reference to Exhibit 4.1 of the Company’s Form 6-K filed with</w:t>
              </w:r>
            </w:hyperlink>
          </w:p>
        </w:tc>
      </w:tr>
      <w:tr>
        <w:trPr>
          <w:trHeight w:val="196"/>
        </w:trPr>
        <w:tc>
          <w:tcPr>
            <w:tcW w:w="1140" w:type="dxa"/>
            <w:vAlign w:val="bottom"/>
          </w:tcPr>
          <w:p>
            <w:pPr>
              <w:spacing w:after="0"/>
              <w:rPr>
                <w:sz w:val="17"/>
                <w:szCs w:val="17"/>
                <w:color w:val="auto"/>
              </w:rPr>
            </w:pPr>
          </w:p>
        </w:tc>
        <w:tc>
          <w:tcPr>
            <w:tcW w:w="10100" w:type="dxa"/>
            <w:vAlign w:val="bottom"/>
            <w:gridSpan w:val="17"/>
          </w:tcPr>
          <w:p>
            <w:pPr>
              <w:spacing w:after="0" w:line="196" w:lineRule="exact"/>
              <w:rPr>
                <w:rFonts w:ascii="Times New Roman" w:cs="Times New Roman" w:eastAsia="Times New Roman" w:hAnsi="Times New Roman"/>
                <w:sz w:val="18"/>
                <w:szCs w:val="18"/>
                <w:color w:val="0000EE"/>
              </w:rPr>
            </w:pPr>
            <w:hyperlink r:id="rId73">
              <w:r>
                <w:rPr>
                  <w:rFonts w:ascii="Times New Roman" w:cs="Times New Roman" w:eastAsia="Times New Roman" w:hAnsi="Times New Roman"/>
                  <w:sz w:val="18"/>
                  <w:szCs w:val="18"/>
                  <w:color w:val="0000EE"/>
                </w:rPr>
                <w:t>the SEC on May 22, 2025)</w:t>
              </w:r>
            </w:hyperlink>
          </w:p>
        </w:tc>
      </w:tr>
      <w:tr>
        <w:trPr>
          <w:trHeight w:val="21"/>
        </w:trPr>
        <w:tc>
          <w:tcPr>
            <w:tcW w:w="114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4.2</w:t>
            </w:r>
          </w:p>
        </w:tc>
        <w:tc>
          <w:tcPr>
            <w:tcW w:w="10100" w:type="dxa"/>
            <w:vAlign w:val="bottom"/>
            <w:tcBorders>
              <w:bottom w:val="single" w:sz="8" w:color="0000EE"/>
            </w:tcBorders>
            <w:gridSpan w:val="17"/>
            <w:shd w:val="clear" w:color="auto" w:fill="CCEEFF"/>
          </w:tcPr>
          <w:p>
            <w:pPr>
              <w:spacing w:after="0" w:line="176" w:lineRule="exact"/>
              <w:rPr>
                <w:rFonts w:ascii="Times New Roman" w:cs="Times New Roman" w:eastAsia="Times New Roman" w:hAnsi="Times New Roman"/>
                <w:sz w:val="18"/>
                <w:szCs w:val="18"/>
                <w:color w:val="0000EE"/>
              </w:rPr>
            </w:pPr>
            <w:hyperlink r:id="rId74">
              <w:r>
                <w:rPr>
                  <w:rFonts w:ascii="Times New Roman" w:cs="Times New Roman" w:eastAsia="Times New Roman" w:hAnsi="Times New Roman"/>
                  <w:sz w:val="18"/>
                  <w:szCs w:val="18"/>
                  <w:color w:val="0000EE"/>
                </w:rPr>
                <w:t>Warrant issued to Overseas-Chinese Banking Corporation Limited on July 7, 2025 (incorporated by reference to Exhibit 4.1 of the</w:t>
              </w:r>
            </w:hyperlink>
          </w:p>
        </w:tc>
      </w:tr>
      <w:tr>
        <w:trPr>
          <w:trHeight w:val="217"/>
        </w:trPr>
        <w:tc>
          <w:tcPr>
            <w:tcW w:w="1140" w:type="dxa"/>
            <w:vAlign w:val="bottom"/>
            <w:tcBorders>
              <w:bottom w:val="single" w:sz="8" w:color="CCEEFF"/>
            </w:tcBorders>
            <w:shd w:val="clear" w:color="auto" w:fill="CCEEFF"/>
          </w:tcPr>
          <w:p>
            <w:pPr>
              <w:spacing w:after="0"/>
              <w:rPr>
                <w:sz w:val="18"/>
                <w:szCs w:val="18"/>
                <w:color w:val="auto"/>
              </w:rPr>
            </w:pPr>
          </w:p>
        </w:tc>
        <w:tc>
          <w:tcPr>
            <w:tcW w:w="4180" w:type="dxa"/>
            <w:vAlign w:val="bottom"/>
            <w:tcBorders>
              <w:bottom w:val="single" w:sz="8" w:color="0000EE"/>
            </w:tcBorders>
            <w:gridSpan w:val="8"/>
            <w:shd w:val="clear" w:color="auto" w:fill="CCEEFF"/>
          </w:tcPr>
          <w:p>
            <w:pPr>
              <w:spacing w:after="0" w:line="196" w:lineRule="exact"/>
              <w:rPr>
                <w:rFonts w:ascii="Times New Roman" w:cs="Times New Roman" w:eastAsia="Times New Roman" w:hAnsi="Times New Roman"/>
                <w:sz w:val="18"/>
                <w:szCs w:val="18"/>
                <w:color w:val="0000EE"/>
                <w:w w:val="99"/>
              </w:rPr>
            </w:pPr>
            <w:hyperlink r:id="rId74">
              <w:r>
                <w:rPr>
                  <w:rFonts w:ascii="Times New Roman" w:cs="Times New Roman" w:eastAsia="Times New Roman" w:hAnsi="Times New Roman"/>
                  <w:sz w:val="18"/>
                  <w:szCs w:val="18"/>
                  <w:color w:val="0000EE"/>
                  <w:w w:val="99"/>
                </w:rPr>
                <w:t>Company’s Form 6-K filed with the SEC on July 8, 2025)</w:t>
              </w:r>
            </w:hyperlink>
          </w:p>
        </w:tc>
        <w:tc>
          <w:tcPr>
            <w:tcW w:w="5920" w:type="dxa"/>
            <w:vAlign w:val="bottom"/>
            <w:tcBorders>
              <w:bottom w:val="single" w:sz="8" w:color="CCEEFF"/>
            </w:tcBorders>
            <w:gridSpan w:val="9"/>
            <w:shd w:val="clear" w:color="auto" w:fill="CCEEFF"/>
          </w:tcPr>
          <w:p>
            <w:pPr>
              <w:spacing w:after="0"/>
              <w:rPr>
                <w:sz w:val="18"/>
                <w:szCs w:val="18"/>
                <w:color w:val="auto"/>
              </w:rPr>
            </w:pPr>
          </w:p>
        </w:tc>
      </w:tr>
      <w:tr>
        <w:trPr>
          <w:trHeight w:val="176"/>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4.2.1</w:t>
            </w:r>
          </w:p>
        </w:tc>
        <w:tc>
          <w:tcPr>
            <w:tcW w:w="10100" w:type="dxa"/>
            <w:vAlign w:val="bottom"/>
            <w:tcBorders>
              <w:bottom w:val="single" w:sz="8" w:color="0000EE"/>
            </w:tcBorders>
            <w:gridSpan w:val="17"/>
          </w:tcPr>
          <w:p>
            <w:pPr>
              <w:spacing w:after="0" w:line="176" w:lineRule="exact"/>
              <w:rPr>
                <w:rFonts w:ascii="Times New Roman" w:cs="Times New Roman" w:eastAsia="Times New Roman" w:hAnsi="Times New Roman"/>
                <w:sz w:val="18"/>
                <w:szCs w:val="18"/>
                <w:color w:val="0000EE"/>
              </w:rPr>
            </w:pPr>
            <w:hyperlink r:id="rId75">
              <w:r>
                <w:rPr>
                  <w:rFonts w:ascii="Times New Roman" w:cs="Times New Roman" w:eastAsia="Times New Roman" w:hAnsi="Times New Roman"/>
                  <w:sz w:val="18"/>
                  <w:szCs w:val="18"/>
                  <w:color w:val="0000EE"/>
                </w:rPr>
                <w:t>Amendment No. 1 to Warrant issued to Overseas-Chinese Banking Corporation Limited dated July 29, 2025 (incorporated by reference to</w:t>
              </w:r>
            </w:hyperlink>
          </w:p>
        </w:tc>
      </w:tr>
      <w:tr>
        <w:trPr>
          <w:trHeight w:val="196"/>
        </w:trPr>
        <w:tc>
          <w:tcPr>
            <w:tcW w:w="1140" w:type="dxa"/>
            <w:vAlign w:val="bottom"/>
          </w:tcPr>
          <w:p>
            <w:pPr>
              <w:spacing w:after="0"/>
              <w:rPr>
                <w:sz w:val="17"/>
                <w:szCs w:val="17"/>
                <w:color w:val="auto"/>
              </w:rPr>
            </w:pPr>
          </w:p>
        </w:tc>
        <w:tc>
          <w:tcPr>
            <w:tcW w:w="10100" w:type="dxa"/>
            <w:vAlign w:val="bottom"/>
            <w:gridSpan w:val="17"/>
          </w:tcPr>
          <w:p>
            <w:pPr>
              <w:spacing w:after="0" w:line="196" w:lineRule="exact"/>
              <w:rPr>
                <w:rFonts w:ascii="Times New Roman" w:cs="Times New Roman" w:eastAsia="Times New Roman" w:hAnsi="Times New Roman"/>
                <w:sz w:val="18"/>
                <w:szCs w:val="18"/>
                <w:color w:val="0000EE"/>
              </w:rPr>
            </w:pPr>
            <w:hyperlink r:id="rId75">
              <w:r>
                <w:rPr>
                  <w:rFonts w:ascii="Times New Roman" w:cs="Times New Roman" w:eastAsia="Times New Roman" w:hAnsi="Times New Roman"/>
                  <w:sz w:val="18"/>
                  <w:szCs w:val="18"/>
                  <w:color w:val="0000EE"/>
                </w:rPr>
                <w:t>Exhibit 4.1 of the Company’s Form 6-K filed with the SEC on July 29, 2025)</w:t>
              </w:r>
            </w:hyperlink>
          </w:p>
        </w:tc>
      </w:tr>
      <w:tr>
        <w:trPr>
          <w:trHeight w:val="20"/>
        </w:trPr>
        <w:tc>
          <w:tcPr>
            <w:tcW w:w="114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32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4.3</w:t>
            </w:r>
          </w:p>
        </w:tc>
        <w:tc>
          <w:tcPr>
            <w:tcW w:w="9040" w:type="dxa"/>
            <w:vAlign w:val="bottom"/>
            <w:tcBorders>
              <w:bottom w:val="single" w:sz="8" w:color="0000EE"/>
            </w:tcBorders>
            <w:gridSpan w:val="15"/>
            <w:shd w:val="clear" w:color="auto" w:fill="CCEEFF"/>
          </w:tcPr>
          <w:p>
            <w:pPr>
              <w:spacing w:after="0" w:line="176" w:lineRule="exact"/>
              <w:rPr>
                <w:rFonts w:ascii="Times New Roman" w:cs="Times New Roman" w:eastAsia="Times New Roman" w:hAnsi="Times New Roman"/>
                <w:sz w:val="18"/>
                <w:szCs w:val="18"/>
                <w:color w:val="0000EE"/>
                <w:w w:val="99"/>
              </w:rPr>
            </w:pPr>
            <w:hyperlink r:id="rId76">
              <w:r>
                <w:rPr>
                  <w:rFonts w:ascii="Times New Roman" w:cs="Times New Roman" w:eastAsia="Times New Roman" w:hAnsi="Times New Roman"/>
                  <w:sz w:val="18"/>
                  <w:szCs w:val="18"/>
                  <w:color w:val="0000EE"/>
                  <w:w w:val="99"/>
                </w:rPr>
                <w:t>Form of Warrant (incorporated by reference to Exhibit 4.1 of the Company’s Form 6-K filed with the SEC on April 29, 2026)</w:t>
              </w:r>
            </w:hyperlink>
          </w:p>
        </w:tc>
        <w:tc>
          <w:tcPr>
            <w:tcW w:w="1060" w:type="dxa"/>
            <w:vAlign w:val="bottom"/>
            <w:tcBorders>
              <w:bottom w:val="single" w:sz="8" w:color="CCEEFF"/>
            </w:tcBorders>
            <w:gridSpan w:val="2"/>
            <w:shd w:val="clear" w:color="auto" w:fill="CCEEFF"/>
          </w:tcPr>
          <w:p>
            <w:pPr>
              <w:spacing w:after="0"/>
              <w:rPr>
                <w:sz w:val="17"/>
                <w:szCs w:val="17"/>
                <w:color w:val="auto"/>
              </w:rPr>
            </w:pPr>
          </w:p>
        </w:tc>
      </w:tr>
      <w:tr>
        <w:trPr>
          <w:trHeight w:val="176"/>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5.1**</w:t>
            </w:r>
          </w:p>
        </w:tc>
        <w:tc>
          <w:tcPr>
            <w:tcW w:w="10100" w:type="dxa"/>
            <w:vAlign w:val="bottom"/>
            <w:gridSpan w:val="17"/>
          </w:tcPr>
          <w:p>
            <w:pPr>
              <w:spacing w:after="0" w:line="176" w:lineRule="exact"/>
              <w:rPr>
                <w:rFonts w:ascii="Times New Roman" w:cs="Times New Roman" w:eastAsia="Times New Roman" w:hAnsi="Times New Roman"/>
                <w:sz w:val="18"/>
                <w:szCs w:val="18"/>
                <w:color w:val="0000EE"/>
              </w:rPr>
            </w:pPr>
            <w:hyperlink r:id="rId77">
              <w:r>
                <w:rPr>
                  <w:rFonts w:ascii="Times New Roman" w:cs="Times New Roman" w:eastAsia="Times New Roman" w:hAnsi="Times New Roman"/>
                  <w:sz w:val="18"/>
                  <w:szCs w:val="18"/>
                  <w:color w:val="0000EE"/>
                </w:rPr>
                <w:t>Opinion of Carey Olsen Singapore LLP as to validity of Ordinary Shares</w:t>
              </w:r>
            </w:hyperlink>
          </w:p>
        </w:tc>
      </w:tr>
      <w:tr>
        <w:trPr>
          <w:trHeight w:val="20"/>
        </w:trPr>
        <w:tc>
          <w:tcPr>
            <w:tcW w:w="114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32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10100" w:type="dxa"/>
            <w:vAlign w:val="bottom"/>
            <w:tcBorders>
              <w:bottom w:val="single" w:sz="8" w:color="0000EE"/>
            </w:tcBorders>
            <w:gridSpan w:val="17"/>
            <w:shd w:val="clear" w:color="auto" w:fill="CCEEFF"/>
          </w:tcPr>
          <w:p>
            <w:pPr>
              <w:spacing w:after="0" w:line="176" w:lineRule="exact"/>
              <w:rPr>
                <w:rFonts w:ascii="Times New Roman" w:cs="Times New Roman" w:eastAsia="Times New Roman" w:hAnsi="Times New Roman"/>
                <w:sz w:val="18"/>
                <w:szCs w:val="18"/>
                <w:color w:val="0000EE"/>
              </w:rPr>
            </w:pPr>
            <w:hyperlink r:id="rId78">
              <w:r>
                <w:rPr>
                  <w:rFonts w:ascii="Times New Roman" w:cs="Times New Roman" w:eastAsia="Times New Roman" w:hAnsi="Times New Roman"/>
                  <w:sz w:val="18"/>
                  <w:szCs w:val="18"/>
                  <w:color w:val="0000EE"/>
                </w:rPr>
                <w:t>Assignment, Assumption and Amendment Agreement by and among RFAC, the Company and Continental Stock Transfer &amp; Trust</w:t>
              </w:r>
            </w:hyperlink>
          </w:p>
        </w:tc>
      </w:tr>
      <w:tr>
        <w:trPr>
          <w:trHeight w:val="196"/>
        </w:trPr>
        <w:tc>
          <w:tcPr>
            <w:tcW w:w="1140" w:type="dxa"/>
            <w:vAlign w:val="bottom"/>
            <w:tcBorders>
              <w:bottom w:val="single" w:sz="8" w:color="CCEEFF"/>
            </w:tcBorders>
            <w:shd w:val="clear" w:color="auto" w:fill="CCEEFF"/>
          </w:tcPr>
          <w:p>
            <w:pPr>
              <w:spacing w:after="0"/>
              <w:rPr>
                <w:sz w:val="17"/>
                <w:szCs w:val="17"/>
                <w:color w:val="auto"/>
              </w:rPr>
            </w:pPr>
          </w:p>
        </w:tc>
        <w:tc>
          <w:tcPr>
            <w:tcW w:w="10100" w:type="dxa"/>
            <w:vAlign w:val="bottom"/>
            <w:tcBorders>
              <w:bottom w:val="single" w:sz="8" w:color="0000EE"/>
            </w:tcBorders>
            <w:gridSpan w:val="17"/>
            <w:shd w:val="clear" w:color="auto" w:fill="CCEEFF"/>
          </w:tcPr>
          <w:p>
            <w:pPr>
              <w:spacing w:after="0" w:line="196" w:lineRule="exact"/>
              <w:rPr>
                <w:rFonts w:ascii="Times New Roman" w:cs="Times New Roman" w:eastAsia="Times New Roman" w:hAnsi="Times New Roman"/>
                <w:sz w:val="18"/>
                <w:szCs w:val="18"/>
                <w:color w:val="0000EE"/>
              </w:rPr>
            </w:pPr>
            <w:hyperlink r:id="rId78">
              <w:r>
                <w:rPr>
                  <w:rFonts w:ascii="Times New Roman" w:cs="Times New Roman" w:eastAsia="Times New Roman" w:hAnsi="Times New Roman"/>
                  <w:sz w:val="18"/>
                  <w:szCs w:val="18"/>
                  <w:color w:val="0000EE"/>
                </w:rPr>
                <w:t>Company dated February 13, 2025 (incorporated by reference to Exhibit 10.1 of the Company’s Shell Company Report on Form 20-F filed</w:t>
              </w:r>
            </w:hyperlink>
          </w:p>
        </w:tc>
      </w:tr>
      <w:tr>
        <w:trPr>
          <w:trHeight w:val="196"/>
        </w:trPr>
        <w:tc>
          <w:tcPr>
            <w:tcW w:w="1140" w:type="dxa"/>
            <w:vAlign w:val="bottom"/>
            <w:shd w:val="clear" w:color="auto" w:fill="CCEEFF"/>
          </w:tcPr>
          <w:p>
            <w:pPr>
              <w:spacing w:after="0"/>
              <w:rPr>
                <w:sz w:val="17"/>
                <w:szCs w:val="17"/>
                <w:color w:val="auto"/>
              </w:rPr>
            </w:pPr>
          </w:p>
        </w:tc>
        <w:tc>
          <w:tcPr>
            <w:tcW w:w="10100" w:type="dxa"/>
            <w:vAlign w:val="bottom"/>
            <w:gridSpan w:val="17"/>
            <w:shd w:val="clear" w:color="auto" w:fill="CCEEFF"/>
          </w:tcPr>
          <w:p>
            <w:pPr>
              <w:spacing w:after="0" w:line="196" w:lineRule="exact"/>
              <w:rPr>
                <w:rFonts w:ascii="Times New Roman" w:cs="Times New Roman" w:eastAsia="Times New Roman" w:hAnsi="Times New Roman"/>
                <w:sz w:val="18"/>
                <w:szCs w:val="18"/>
                <w:color w:val="0000EE"/>
              </w:rPr>
            </w:pPr>
            <w:hyperlink r:id="rId78">
              <w:r>
                <w:rPr>
                  <w:rFonts w:ascii="Times New Roman" w:cs="Times New Roman" w:eastAsia="Times New Roman" w:hAnsi="Times New Roman"/>
                  <w:sz w:val="18"/>
                  <w:szCs w:val="18"/>
                  <w:color w:val="0000EE"/>
                </w:rPr>
                <w:t>with the SEC on February 26, 2025).</w:t>
              </w:r>
            </w:hyperlink>
          </w:p>
        </w:tc>
      </w:tr>
      <w:tr>
        <w:trPr>
          <w:trHeight w:val="20"/>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10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10.2</w:t>
            </w:r>
          </w:p>
        </w:tc>
        <w:tc>
          <w:tcPr>
            <w:tcW w:w="10100" w:type="dxa"/>
            <w:vAlign w:val="bottom"/>
            <w:tcBorders>
              <w:bottom w:val="single" w:sz="8" w:color="0000EE"/>
            </w:tcBorders>
            <w:gridSpan w:val="17"/>
          </w:tcPr>
          <w:p>
            <w:pPr>
              <w:spacing w:after="0" w:line="176" w:lineRule="exact"/>
              <w:rPr>
                <w:rFonts w:ascii="Times New Roman" w:cs="Times New Roman" w:eastAsia="Times New Roman" w:hAnsi="Times New Roman"/>
                <w:sz w:val="18"/>
                <w:szCs w:val="18"/>
                <w:color w:val="0000EE"/>
              </w:rPr>
            </w:pPr>
            <w:hyperlink r:id="rId79">
              <w:r>
                <w:rPr>
                  <w:rFonts w:ascii="Times New Roman" w:cs="Times New Roman" w:eastAsia="Times New Roman" w:hAnsi="Times New Roman"/>
                  <w:sz w:val="18"/>
                  <w:szCs w:val="18"/>
                  <w:color w:val="0000EE"/>
                </w:rPr>
                <w:t>Registration Rights Agreement by and among the Company, GCL Global Limited and certain holders named therein, dated February 13,</w:t>
              </w:r>
            </w:hyperlink>
          </w:p>
        </w:tc>
      </w:tr>
      <w:tr>
        <w:trPr>
          <w:trHeight w:val="196"/>
        </w:trPr>
        <w:tc>
          <w:tcPr>
            <w:tcW w:w="1140" w:type="dxa"/>
            <w:vAlign w:val="bottom"/>
          </w:tcPr>
          <w:p>
            <w:pPr>
              <w:spacing w:after="0"/>
              <w:rPr>
                <w:sz w:val="17"/>
                <w:szCs w:val="17"/>
                <w:color w:val="auto"/>
              </w:rPr>
            </w:pPr>
          </w:p>
        </w:tc>
        <w:tc>
          <w:tcPr>
            <w:tcW w:w="1010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79">
              <w:r>
                <w:rPr>
                  <w:rFonts w:ascii="Times New Roman" w:cs="Times New Roman" w:eastAsia="Times New Roman" w:hAnsi="Times New Roman"/>
                  <w:sz w:val="18"/>
                  <w:szCs w:val="18"/>
                  <w:color w:val="0000EE"/>
                </w:rPr>
                <w:t>2025 (incorporated by reference to Exhibit 10.2 of the Company’s Shell Company Report on Form 20-F filed with the SEC on February 26,</w:t>
              </w:r>
            </w:hyperlink>
          </w:p>
        </w:tc>
      </w:tr>
      <w:tr>
        <w:trPr>
          <w:trHeight w:val="196"/>
        </w:trPr>
        <w:tc>
          <w:tcPr>
            <w:tcW w:w="1140" w:type="dxa"/>
            <w:vAlign w:val="bottom"/>
          </w:tcPr>
          <w:p>
            <w:pPr>
              <w:spacing w:after="0"/>
              <w:rPr>
                <w:sz w:val="17"/>
                <w:szCs w:val="17"/>
                <w:color w:val="auto"/>
              </w:rPr>
            </w:pPr>
          </w:p>
        </w:tc>
        <w:tc>
          <w:tcPr>
            <w:tcW w:w="1480" w:type="dxa"/>
            <w:vAlign w:val="bottom"/>
            <w:gridSpan w:val="2"/>
          </w:tcPr>
          <w:p>
            <w:pPr>
              <w:spacing w:after="0" w:line="196" w:lineRule="exact"/>
              <w:rPr>
                <w:rFonts w:ascii="Times New Roman" w:cs="Times New Roman" w:eastAsia="Times New Roman" w:hAnsi="Times New Roman"/>
                <w:sz w:val="18"/>
                <w:szCs w:val="18"/>
                <w:color w:val="0000EE"/>
              </w:rPr>
            </w:pPr>
            <w:hyperlink r:id="rId79">
              <w:r>
                <w:rPr>
                  <w:rFonts w:ascii="Times New Roman" w:cs="Times New Roman" w:eastAsia="Times New Roman" w:hAnsi="Times New Roman"/>
                  <w:sz w:val="18"/>
                  <w:szCs w:val="18"/>
                  <w:color w:val="0000EE"/>
                </w:rPr>
                <w:t>2025)</w:t>
              </w:r>
            </w:hyperlink>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10.3</w:t>
            </w:r>
          </w:p>
        </w:tc>
        <w:tc>
          <w:tcPr>
            <w:tcW w:w="10100" w:type="dxa"/>
            <w:vAlign w:val="bottom"/>
            <w:tcBorders>
              <w:bottom w:val="single" w:sz="8" w:color="0000EE"/>
            </w:tcBorders>
            <w:gridSpan w:val="17"/>
            <w:shd w:val="clear" w:color="auto" w:fill="CCEEFF"/>
          </w:tcPr>
          <w:p>
            <w:pPr>
              <w:spacing w:after="0" w:line="176" w:lineRule="exact"/>
              <w:rPr>
                <w:rFonts w:ascii="Times New Roman" w:cs="Times New Roman" w:eastAsia="Times New Roman" w:hAnsi="Times New Roman"/>
                <w:sz w:val="18"/>
                <w:szCs w:val="18"/>
                <w:color w:val="0000EE"/>
              </w:rPr>
            </w:pPr>
            <w:hyperlink r:id="rId80">
              <w:r>
                <w:rPr>
                  <w:rFonts w:ascii="Times New Roman" w:cs="Times New Roman" w:eastAsia="Times New Roman" w:hAnsi="Times New Roman"/>
                  <w:sz w:val="18"/>
                  <w:szCs w:val="18"/>
                  <w:color w:val="0000EE"/>
                </w:rPr>
                <w:t>Bonus Shares Escrow Agreement by and between the Company and Continental Stock Transfer &amp; Trust Company dated February 13, 2025</w:t>
              </w:r>
            </w:hyperlink>
          </w:p>
        </w:tc>
      </w:tr>
      <w:tr>
        <w:trPr>
          <w:trHeight w:val="196"/>
        </w:trPr>
        <w:tc>
          <w:tcPr>
            <w:tcW w:w="1140" w:type="dxa"/>
            <w:vAlign w:val="bottom"/>
            <w:tcBorders>
              <w:bottom w:val="single" w:sz="8" w:color="CCEEFF"/>
            </w:tcBorders>
            <w:shd w:val="clear" w:color="auto" w:fill="CCEEFF"/>
          </w:tcPr>
          <w:p>
            <w:pPr>
              <w:spacing w:after="0"/>
              <w:rPr>
                <w:sz w:val="17"/>
                <w:szCs w:val="17"/>
                <w:color w:val="auto"/>
              </w:rPr>
            </w:pPr>
          </w:p>
        </w:tc>
        <w:tc>
          <w:tcPr>
            <w:tcW w:w="10100" w:type="dxa"/>
            <w:vAlign w:val="bottom"/>
            <w:tcBorders>
              <w:bottom w:val="single" w:sz="8" w:color="0000EE"/>
            </w:tcBorders>
            <w:gridSpan w:val="17"/>
            <w:shd w:val="clear" w:color="auto" w:fill="CCEEFF"/>
          </w:tcPr>
          <w:p>
            <w:pPr>
              <w:spacing w:after="0" w:line="196" w:lineRule="exact"/>
              <w:rPr>
                <w:rFonts w:ascii="Times New Roman" w:cs="Times New Roman" w:eastAsia="Times New Roman" w:hAnsi="Times New Roman"/>
                <w:sz w:val="18"/>
                <w:szCs w:val="18"/>
                <w:color w:val="0000EE"/>
              </w:rPr>
            </w:pPr>
            <w:hyperlink r:id="rId80">
              <w:r>
                <w:rPr>
                  <w:rFonts w:ascii="Times New Roman" w:cs="Times New Roman" w:eastAsia="Times New Roman" w:hAnsi="Times New Roman"/>
                  <w:sz w:val="18"/>
                  <w:szCs w:val="18"/>
                  <w:color w:val="0000EE"/>
                </w:rPr>
                <w:t>(incorporated by reference to Exhibit 10.3 of the Company’s Shell Company Report on Form 20-F filed with the SEC on February 26,</w:t>
              </w:r>
            </w:hyperlink>
          </w:p>
        </w:tc>
      </w:tr>
      <w:tr>
        <w:trPr>
          <w:trHeight w:val="196"/>
        </w:trPr>
        <w:tc>
          <w:tcPr>
            <w:tcW w:w="114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spacing w:after="0" w:line="196" w:lineRule="exact"/>
              <w:rPr>
                <w:rFonts w:ascii="Times New Roman" w:cs="Times New Roman" w:eastAsia="Times New Roman" w:hAnsi="Times New Roman"/>
                <w:sz w:val="18"/>
                <w:szCs w:val="18"/>
                <w:color w:val="0000EE"/>
              </w:rPr>
            </w:pPr>
            <w:hyperlink r:id="rId80">
              <w:r>
                <w:rPr>
                  <w:rFonts w:ascii="Times New Roman" w:cs="Times New Roman" w:eastAsia="Times New Roman" w:hAnsi="Times New Roman"/>
                  <w:sz w:val="18"/>
                  <w:szCs w:val="18"/>
                  <w:color w:val="0000EE"/>
                </w:rPr>
                <w:t>2025)</w:t>
              </w:r>
            </w:hyperlink>
          </w:p>
        </w:tc>
        <w:tc>
          <w:tcPr>
            <w:tcW w:w="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20"/>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10.4</w:t>
            </w:r>
          </w:p>
        </w:tc>
        <w:tc>
          <w:tcPr>
            <w:tcW w:w="10100" w:type="dxa"/>
            <w:vAlign w:val="bottom"/>
            <w:tcBorders>
              <w:bottom w:val="single" w:sz="8" w:color="0000EE"/>
            </w:tcBorders>
            <w:gridSpan w:val="17"/>
          </w:tcPr>
          <w:p>
            <w:pPr>
              <w:spacing w:after="0" w:line="176" w:lineRule="exact"/>
              <w:rPr>
                <w:rFonts w:ascii="Times New Roman" w:cs="Times New Roman" w:eastAsia="Times New Roman" w:hAnsi="Times New Roman"/>
                <w:sz w:val="18"/>
                <w:szCs w:val="18"/>
                <w:color w:val="0000EE"/>
              </w:rPr>
            </w:pPr>
            <w:hyperlink r:id="rId81">
              <w:r>
                <w:rPr>
                  <w:rFonts w:ascii="Times New Roman" w:cs="Times New Roman" w:eastAsia="Times New Roman" w:hAnsi="Times New Roman"/>
                  <w:sz w:val="18"/>
                  <w:szCs w:val="18"/>
                  <w:color w:val="0000EE"/>
                </w:rPr>
                <w:t>Share Escrow Agreement by and between the Company and Continental Stock Transfer &amp; Trust Company dated February 13, 2025</w:t>
              </w:r>
            </w:hyperlink>
          </w:p>
        </w:tc>
      </w:tr>
      <w:tr>
        <w:trPr>
          <w:trHeight w:val="196"/>
        </w:trPr>
        <w:tc>
          <w:tcPr>
            <w:tcW w:w="1140" w:type="dxa"/>
            <w:vAlign w:val="bottom"/>
          </w:tcPr>
          <w:p>
            <w:pPr>
              <w:spacing w:after="0"/>
              <w:rPr>
                <w:sz w:val="17"/>
                <w:szCs w:val="17"/>
                <w:color w:val="auto"/>
              </w:rPr>
            </w:pPr>
          </w:p>
        </w:tc>
        <w:tc>
          <w:tcPr>
            <w:tcW w:w="1010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81">
              <w:r>
                <w:rPr>
                  <w:rFonts w:ascii="Times New Roman" w:cs="Times New Roman" w:eastAsia="Times New Roman" w:hAnsi="Times New Roman"/>
                  <w:sz w:val="18"/>
                  <w:szCs w:val="18"/>
                  <w:color w:val="0000EE"/>
                </w:rPr>
                <w:t>(incorporated by reference to Exhibit 10.4 of the Company’s Shell Company Report on Form 20-F filed with the SEC on February 26,</w:t>
              </w:r>
            </w:hyperlink>
          </w:p>
        </w:tc>
      </w:tr>
      <w:tr>
        <w:trPr>
          <w:trHeight w:val="196"/>
        </w:trPr>
        <w:tc>
          <w:tcPr>
            <w:tcW w:w="1140" w:type="dxa"/>
            <w:vAlign w:val="bottom"/>
          </w:tcPr>
          <w:p>
            <w:pPr>
              <w:spacing w:after="0"/>
              <w:rPr>
                <w:sz w:val="17"/>
                <w:szCs w:val="17"/>
                <w:color w:val="auto"/>
              </w:rPr>
            </w:pPr>
          </w:p>
        </w:tc>
        <w:tc>
          <w:tcPr>
            <w:tcW w:w="1480" w:type="dxa"/>
            <w:vAlign w:val="bottom"/>
            <w:gridSpan w:val="2"/>
          </w:tcPr>
          <w:p>
            <w:pPr>
              <w:spacing w:after="0" w:line="196" w:lineRule="exact"/>
              <w:rPr>
                <w:rFonts w:ascii="Times New Roman" w:cs="Times New Roman" w:eastAsia="Times New Roman" w:hAnsi="Times New Roman"/>
                <w:sz w:val="18"/>
                <w:szCs w:val="18"/>
                <w:color w:val="0000EE"/>
              </w:rPr>
            </w:pPr>
            <w:hyperlink r:id="rId81">
              <w:r>
                <w:rPr>
                  <w:rFonts w:ascii="Times New Roman" w:cs="Times New Roman" w:eastAsia="Times New Roman" w:hAnsi="Times New Roman"/>
                  <w:sz w:val="18"/>
                  <w:szCs w:val="18"/>
                  <w:color w:val="0000EE"/>
                </w:rPr>
                <w:t>2025)</w:t>
              </w:r>
            </w:hyperlink>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10.5</w:t>
            </w:r>
          </w:p>
        </w:tc>
        <w:tc>
          <w:tcPr>
            <w:tcW w:w="10100" w:type="dxa"/>
            <w:vAlign w:val="bottom"/>
            <w:tcBorders>
              <w:bottom w:val="single" w:sz="8" w:color="0000EE"/>
            </w:tcBorders>
            <w:gridSpan w:val="17"/>
            <w:shd w:val="clear" w:color="auto" w:fill="CCEEFF"/>
          </w:tcPr>
          <w:p>
            <w:pPr>
              <w:spacing w:after="0" w:line="176" w:lineRule="exact"/>
              <w:rPr>
                <w:rFonts w:ascii="Times New Roman" w:cs="Times New Roman" w:eastAsia="Times New Roman" w:hAnsi="Times New Roman"/>
                <w:sz w:val="18"/>
                <w:szCs w:val="18"/>
                <w:color w:val="0000EE"/>
              </w:rPr>
            </w:pPr>
            <w:hyperlink r:id="rId82">
              <w:r>
                <w:rPr>
                  <w:rFonts w:ascii="Times New Roman" w:cs="Times New Roman" w:eastAsia="Times New Roman" w:hAnsi="Times New Roman"/>
                  <w:sz w:val="18"/>
                  <w:szCs w:val="18"/>
                  <w:color w:val="0000EE"/>
                </w:rPr>
                <w:t>Form of Convertible Note Purchase Agreement (incorporated by reference to Exhibit 10.1 to the Form 8-K filed by RF Acquisition Corp.</w:t>
              </w:r>
            </w:hyperlink>
          </w:p>
        </w:tc>
      </w:tr>
      <w:tr>
        <w:trPr>
          <w:trHeight w:val="196"/>
        </w:trPr>
        <w:tc>
          <w:tcPr>
            <w:tcW w:w="1140" w:type="dxa"/>
            <w:vAlign w:val="bottom"/>
            <w:shd w:val="clear" w:color="auto" w:fill="CCEEFF"/>
          </w:tcPr>
          <w:p>
            <w:pPr>
              <w:spacing w:after="0"/>
              <w:rPr>
                <w:sz w:val="17"/>
                <w:szCs w:val="17"/>
                <w:color w:val="auto"/>
              </w:rPr>
            </w:pPr>
          </w:p>
        </w:tc>
        <w:tc>
          <w:tcPr>
            <w:tcW w:w="10100" w:type="dxa"/>
            <w:vAlign w:val="bottom"/>
            <w:gridSpan w:val="17"/>
            <w:shd w:val="clear" w:color="auto" w:fill="CCEEFF"/>
          </w:tcPr>
          <w:p>
            <w:pPr>
              <w:spacing w:after="0" w:line="196" w:lineRule="exact"/>
              <w:rPr>
                <w:rFonts w:ascii="Times New Roman" w:cs="Times New Roman" w:eastAsia="Times New Roman" w:hAnsi="Times New Roman"/>
                <w:sz w:val="18"/>
                <w:szCs w:val="18"/>
                <w:color w:val="0000EE"/>
              </w:rPr>
            </w:pPr>
            <w:hyperlink r:id="rId82">
              <w:r>
                <w:rPr>
                  <w:rFonts w:ascii="Times New Roman" w:cs="Times New Roman" w:eastAsia="Times New Roman" w:hAnsi="Times New Roman"/>
                  <w:sz w:val="18"/>
                  <w:szCs w:val="18"/>
                  <w:color w:val="0000EE"/>
                </w:rPr>
                <w:t>on October 18, 2024)</w:t>
              </w:r>
            </w:hyperlink>
          </w:p>
        </w:tc>
      </w:tr>
      <w:tr>
        <w:trPr>
          <w:trHeight w:val="20"/>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10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10.5.1</w:t>
            </w:r>
          </w:p>
        </w:tc>
        <w:tc>
          <w:tcPr>
            <w:tcW w:w="10100" w:type="dxa"/>
            <w:vAlign w:val="bottom"/>
            <w:tcBorders>
              <w:bottom w:val="single" w:sz="8" w:color="0000EE"/>
            </w:tcBorders>
            <w:gridSpan w:val="17"/>
          </w:tcPr>
          <w:p>
            <w:pPr>
              <w:spacing w:after="0" w:line="176" w:lineRule="exact"/>
              <w:rPr>
                <w:rFonts w:ascii="Times New Roman" w:cs="Times New Roman" w:eastAsia="Times New Roman" w:hAnsi="Times New Roman"/>
                <w:sz w:val="18"/>
                <w:szCs w:val="18"/>
                <w:color w:val="0000EE"/>
              </w:rPr>
            </w:pPr>
            <w:hyperlink r:id="rId83">
              <w:r>
                <w:rPr>
                  <w:rFonts w:ascii="Times New Roman" w:cs="Times New Roman" w:eastAsia="Times New Roman" w:hAnsi="Times New Roman"/>
                  <w:sz w:val="18"/>
                  <w:szCs w:val="18"/>
                  <w:color w:val="0000EE"/>
                </w:rPr>
                <w:t>Form of Amendment to Convertible Note Purchase Agreement (incorporated by reference to Exhibit 10.1 to the Form 8-K filed by RF</w:t>
              </w:r>
            </w:hyperlink>
          </w:p>
        </w:tc>
      </w:tr>
      <w:tr>
        <w:trPr>
          <w:trHeight w:val="196"/>
        </w:trPr>
        <w:tc>
          <w:tcPr>
            <w:tcW w:w="1140" w:type="dxa"/>
            <w:vAlign w:val="bottom"/>
          </w:tcPr>
          <w:p>
            <w:pPr>
              <w:spacing w:after="0"/>
              <w:rPr>
                <w:sz w:val="17"/>
                <w:szCs w:val="17"/>
                <w:color w:val="auto"/>
              </w:rPr>
            </w:pPr>
          </w:p>
        </w:tc>
        <w:tc>
          <w:tcPr>
            <w:tcW w:w="10100" w:type="dxa"/>
            <w:vAlign w:val="bottom"/>
            <w:gridSpan w:val="17"/>
          </w:tcPr>
          <w:p>
            <w:pPr>
              <w:spacing w:after="0" w:line="196" w:lineRule="exact"/>
              <w:rPr>
                <w:rFonts w:ascii="Times New Roman" w:cs="Times New Roman" w:eastAsia="Times New Roman" w:hAnsi="Times New Roman"/>
                <w:sz w:val="18"/>
                <w:szCs w:val="18"/>
                <w:color w:val="0000EE"/>
              </w:rPr>
            </w:pPr>
            <w:hyperlink r:id="rId83">
              <w:r>
                <w:rPr>
                  <w:rFonts w:ascii="Times New Roman" w:cs="Times New Roman" w:eastAsia="Times New Roman" w:hAnsi="Times New Roman"/>
                  <w:sz w:val="18"/>
                  <w:szCs w:val="18"/>
                  <w:color w:val="0000EE"/>
                </w:rPr>
                <w:t>Acquisition Corp. on February 5, 2025)</w:t>
              </w:r>
            </w:hyperlink>
          </w:p>
        </w:tc>
      </w:tr>
      <w:tr>
        <w:trPr>
          <w:trHeight w:val="20"/>
        </w:trPr>
        <w:tc>
          <w:tcPr>
            <w:tcW w:w="114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10.6</w:t>
            </w:r>
          </w:p>
        </w:tc>
        <w:tc>
          <w:tcPr>
            <w:tcW w:w="10100" w:type="dxa"/>
            <w:vAlign w:val="bottom"/>
            <w:tcBorders>
              <w:bottom w:val="single" w:sz="8" w:color="0000EE"/>
            </w:tcBorders>
            <w:gridSpan w:val="17"/>
            <w:shd w:val="clear" w:color="auto" w:fill="CCEEFF"/>
          </w:tcPr>
          <w:p>
            <w:pPr>
              <w:spacing w:after="0" w:line="176" w:lineRule="exact"/>
              <w:rPr>
                <w:rFonts w:ascii="Times New Roman" w:cs="Times New Roman" w:eastAsia="Times New Roman" w:hAnsi="Times New Roman"/>
                <w:sz w:val="18"/>
                <w:szCs w:val="18"/>
                <w:color w:val="0000EE"/>
              </w:rPr>
            </w:pPr>
            <w:hyperlink r:id="rId84">
              <w:r>
                <w:rPr>
                  <w:rFonts w:ascii="Times New Roman" w:cs="Times New Roman" w:eastAsia="Times New Roman" w:hAnsi="Times New Roman"/>
                  <w:sz w:val="18"/>
                  <w:szCs w:val="18"/>
                  <w:color w:val="0000EE"/>
                </w:rPr>
                <w:t>Series B Preferred Stock Purchase Agreement by and between GCL Global Limited and Nekcom Inc. dated November 20, 2024</w:t>
              </w:r>
            </w:hyperlink>
          </w:p>
        </w:tc>
      </w:tr>
      <w:tr>
        <w:trPr>
          <w:trHeight w:val="196"/>
        </w:trPr>
        <w:tc>
          <w:tcPr>
            <w:tcW w:w="1140" w:type="dxa"/>
            <w:vAlign w:val="bottom"/>
            <w:tcBorders>
              <w:bottom w:val="single" w:sz="8" w:color="CCEEFF"/>
            </w:tcBorders>
            <w:shd w:val="clear" w:color="auto" w:fill="CCEEFF"/>
          </w:tcPr>
          <w:p>
            <w:pPr>
              <w:spacing w:after="0"/>
              <w:rPr>
                <w:sz w:val="17"/>
                <w:szCs w:val="17"/>
                <w:color w:val="auto"/>
              </w:rPr>
            </w:pPr>
          </w:p>
        </w:tc>
        <w:tc>
          <w:tcPr>
            <w:tcW w:w="10100" w:type="dxa"/>
            <w:vAlign w:val="bottom"/>
            <w:tcBorders>
              <w:bottom w:val="single" w:sz="8" w:color="0000EE"/>
            </w:tcBorders>
            <w:gridSpan w:val="17"/>
            <w:shd w:val="clear" w:color="auto" w:fill="CCEEFF"/>
          </w:tcPr>
          <w:p>
            <w:pPr>
              <w:spacing w:after="0" w:line="196" w:lineRule="exact"/>
              <w:rPr>
                <w:rFonts w:ascii="Times New Roman" w:cs="Times New Roman" w:eastAsia="Times New Roman" w:hAnsi="Times New Roman"/>
                <w:sz w:val="18"/>
                <w:szCs w:val="18"/>
                <w:color w:val="0000EE"/>
              </w:rPr>
            </w:pPr>
            <w:hyperlink r:id="rId84">
              <w:r>
                <w:rPr>
                  <w:rFonts w:ascii="Times New Roman" w:cs="Times New Roman" w:eastAsia="Times New Roman" w:hAnsi="Times New Roman"/>
                  <w:sz w:val="18"/>
                  <w:szCs w:val="18"/>
                  <w:color w:val="0000EE"/>
                </w:rPr>
                <w:t>(incorporated by reference to Exhibit 10.24 of the Company’s registration statement on Form F-4 (File 333-280559) filed with the SEC on</w:t>
              </w:r>
            </w:hyperlink>
          </w:p>
        </w:tc>
      </w:tr>
      <w:tr>
        <w:trPr>
          <w:trHeight w:val="217"/>
        </w:trPr>
        <w:tc>
          <w:tcPr>
            <w:tcW w:w="114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0000EE"/>
            </w:tcBorders>
            <w:gridSpan w:val="2"/>
            <w:shd w:val="clear" w:color="auto" w:fill="CCEEFF"/>
          </w:tcPr>
          <w:p>
            <w:pPr>
              <w:spacing w:after="0" w:line="196" w:lineRule="exact"/>
              <w:rPr>
                <w:rFonts w:ascii="Times New Roman" w:cs="Times New Roman" w:eastAsia="Times New Roman" w:hAnsi="Times New Roman"/>
                <w:sz w:val="18"/>
                <w:szCs w:val="18"/>
                <w:color w:val="0000EE"/>
                <w:w w:val="98"/>
              </w:rPr>
            </w:pPr>
            <w:hyperlink r:id="rId84">
              <w:r>
                <w:rPr>
                  <w:rFonts w:ascii="Times New Roman" w:cs="Times New Roman" w:eastAsia="Times New Roman" w:hAnsi="Times New Roman"/>
                  <w:sz w:val="18"/>
                  <w:szCs w:val="18"/>
                  <w:color w:val="0000EE"/>
                  <w:w w:val="98"/>
                </w:rPr>
                <w:t>December 26, 2024)</w:t>
              </w:r>
            </w:hyperlink>
          </w:p>
        </w:tc>
        <w:tc>
          <w:tcPr>
            <w:tcW w:w="8620" w:type="dxa"/>
            <w:vAlign w:val="bottom"/>
            <w:tcBorders>
              <w:bottom w:val="single" w:sz="8" w:color="CCEEFF"/>
            </w:tcBorders>
            <w:gridSpan w:val="15"/>
            <w:shd w:val="clear" w:color="auto" w:fill="CCEEFF"/>
          </w:tcPr>
          <w:p>
            <w:pPr>
              <w:spacing w:after="0"/>
              <w:rPr>
                <w:sz w:val="18"/>
                <w:szCs w:val="18"/>
                <w:color w:val="auto"/>
              </w:rPr>
            </w:pPr>
          </w:p>
        </w:tc>
      </w:tr>
      <w:tr>
        <w:trPr>
          <w:trHeight w:val="175"/>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10.6.1</w:t>
            </w:r>
          </w:p>
        </w:tc>
        <w:tc>
          <w:tcPr>
            <w:tcW w:w="10100" w:type="dxa"/>
            <w:vAlign w:val="bottom"/>
            <w:tcBorders>
              <w:bottom w:val="single" w:sz="8" w:color="0000EE"/>
            </w:tcBorders>
            <w:gridSpan w:val="17"/>
          </w:tcPr>
          <w:p>
            <w:pPr>
              <w:spacing w:after="0" w:line="176" w:lineRule="exact"/>
              <w:rPr>
                <w:rFonts w:ascii="Times New Roman" w:cs="Times New Roman" w:eastAsia="Times New Roman" w:hAnsi="Times New Roman"/>
                <w:sz w:val="18"/>
                <w:szCs w:val="18"/>
                <w:color w:val="0000EE"/>
              </w:rPr>
            </w:pPr>
            <w:hyperlink r:id="rId85">
              <w:r>
                <w:rPr>
                  <w:rFonts w:ascii="Times New Roman" w:cs="Times New Roman" w:eastAsia="Times New Roman" w:hAnsi="Times New Roman"/>
                  <w:sz w:val="18"/>
                  <w:szCs w:val="18"/>
                  <w:color w:val="0000EE"/>
                </w:rPr>
                <w:t>Addendum to Payment Rescheduling Agreement by and among GCL Global Limited, Nekcom Inc. and other parties named therein dated</w:t>
              </w:r>
            </w:hyperlink>
          </w:p>
        </w:tc>
      </w:tr>
      <w:tr>
        <w:trPr>
          <w:trHeight w:val="196"/>
        </w:trPr>
        <w:tc>
          <w:tcPr>
            <w:tcW w:w="1140" w:type="dxa"/>
            <w:vAlign w:val="bottom"/>
          </w:tcPr>
          <w:p>
            <w:pPr>
              <w:spacing w:after="0"/>
              <w:rPr>
                <w:sz w:val="17"/>
                <w:szCs w:val="17"/>
                <w:color w:val="auto"/>
              </w:rPr>
            </w:pPr>
          </w:p>
        </w:tc>
        <w:tc>
          <w:tcPr>
            <w:tcW w:w="10100" w:type="dxa"/>
            <w:vAlign w:val="bottom"/>
            <w:gridSpan w:val="17"/>
          </w:tcPr>
          <w:p>
            <w:pPr>
              <w:spacing w:after="0" w:line="196" w:lineRule="exact"/>
              <w:rPr>
                <w:rFonts w:ascii="Times New Roman" w:cs="Times New Roman" w:eastAsia="Times New Roman" w:hAnsi="Times New Roman"/>
                <w:sz w:val="18"/>
                <w:szCs w:val="18"/>
                <w:color w:val="0000EE"/>
              </w:rPr>
            </w:pPr>
            <w:hyperlink r:id="rId85">
              <w:r>
                <w:rPr>
                  <w:rFonts w:ascii="Times New Roman" w:cs="Times New Roman" w:eastAsia="Times New Roman" w:hAnsi="Times New Roman"/>
                  <w:sz w:val="18"/>
                  <w:szCs w:val="18"/>
                  <w:color w:val="0000EE"/>
                </w:rPr>
                <w:t>July 10, 2025 (incorporated by reference to Exhibit 10.6.1 to the Company’s Form 20-F filed with the SEC on July 31, 2025)</w:t>
              </w:r>
            </w:hyperlink>
          </w:p>
        </w:tc>
      </w:tr>
      <w:tr>
        <w:trPr>
          <w:trHeight w:val="21"/>
        </w:trPr>
        <w:tc>
          <w:tcPr>
            <w:tcW w:w="114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32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40" w:type="dxa"/>
            <w:vAlign w:val="bottom"/>
            <w:tcBorders>
              <w:top w:val="single" w:sz="8" w:color="0000EE"/>
            </w:tcBorders>
          </w:tcPr>
          <w:p>
            <w:pPr>
              <w:spacing w:after="0" w:line="20" w:lineRule="exact"/>
              <w:rPr>
                <w:sz w:val="1"/>
                <w:szCs w:val="1"/>
                <w:color w:val="auto"/>
              </w:rPr>
            </w:pPr>
          </w:p>
        </w:tc>
        <w:tc>
          <w:tcPr>
            <w:tcW w:w="1160" w:type="dxa"/>
            <w:vAlign w:val="bottom"/>
            <w:tcBorders>
              <w:top w:val="single" w:sz="8" w:color="0000EE"/>
            </w:tcBorders>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10.6.2</w:t>
            </w:r>
          </w:p>
        </w:tc>
        <w:tc>
          <w:tcPr>
            <w:tcW w:w="10100" w:type="dxa"/>
            <w:vAlign w:val="bottom"/>
            <w:tcBorders>
              <w:bottom w:val="single" w:sz="8" w:color="0000EE"/>
            </w:tcBorders>
            <w:gridSpan w:val="17"/>
            <w:shd w:val="clear" w:color="auto" w:fill="CCEEFF"/>
          </w:tcPr>
          <w:p>
            <w:pPr>
              <w:spacing w:after="0" w:line="176" w:lineRule="exact"/>
              <w:rPr>
                <w:rFonts w:ascii="Times New Roman" w:cs="Times New Roman" w:eastAsia="Times New Roman" w:hAnsi="Times New Roman"/>
                <w:sz w:val="18"/>
                <w:szCs w:val="18"/>
                <w:color w:val="0000EE"/>
              </w:rPr>
            </w:pPr>
            <w:hyperlink r:id="rId86">
              <w:r>
                <w:rPr>
                  <w:rFonts w:ascii="Times New Roman" w:cs="Times New Roman" w:eastAsia="Times New Roman" w:hAnsi="Times New Roman"/>
                  <w:sz w:val="18"/>
                  <w:szCs w:val="18"/>
                  <w:color w:val="0000EE"/>
                </w:rPr>
                <w:t>First Amendment to Series B Preferred Stock Purchase Agreement between GCL Global Limited and Nekcom Inc., dated May 15, 2025</w:t>
              </w:r>
            </w:hyperlink>
          </w:p>
        </w:tc>
      </w:tr>
      <w:tr>
        <w:trPr>
          <w:trHeight w:val="196"/>
        </w:trPr>
        <w:tc>
          <w:tcPr>
            <w:tcW w:w="1140" w:type="dxa"/>
            <w:vAlign w:val="bottom"/>
            <w:shd w:val="clear" w:color="auto" w:fill="CCEEFF"/>
          </w:tcPr>
          <w:p>
            <w:pPr>
              <w:spacing w:after="0"/>
              <w:rPr>
                <w:sz w:val="17"/>
                <w:szCs w:val="17"/>
                <w:color w:val="auto"/>
              </w:rPr>
            </w:pPr>
          </w:p>
        </w:tc>
        <w:tc>
          <w:tcPr>
            <w:tcW w:w="10100" w:type="dxa"/>
            <w:vAlign w:val="bottom"/>
            <w:gridSpan w:val="17"/>
            <w:shd w:val="clear" w:color="auto" w:fill="CCEEFF"/>
          </w:tcPr>
          <w:p>
            <w:pPr>
              <w:spacing w:after="0" w:line="196" w:lineRule="exact"/>
              <w:rPr>
                <w:rFonts w:ascii="Times New Roman" w:cs="Times New Roman" w:eastAsia="Times New Roman" w:hAnsi="Times New Roman"/>
                <w:sz w:val="18"/>
                <w:szCs w:val="18"/>
                <w:color w:val="0000EE"/>
              </w:rPr>
            </w:pPr>
            <w:hyperlink r:id="rId86">
              <w:r>
                <w:rPr>
                  <w:rFonts w:ascii="Times New Roman" w:cs="Times New Roman" w:eastAsia="Times New Roman" w:hAnsi="Times New Roman"/>
                  <w:sz w:val="18"/>
                  <w:szCs w:val="18"/>
                  <w:color w:val="0000EE"/>
                </w:rPr>
                <w:t>(incorporated by reference to Exhibit 99.4 of the Company’s Form 6-K, filed with the SEC on January 30, 2026)</w:t>
              </w:r>
            </w:hyperlink>
          </w:p>
        </w:tc>
      </w:tr>
      <w:tr>
        <w:trPr>
          <w:trHeight w:val="20"/>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10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320" w:type="dxa"/>
            <w:vAlign w:val="bottom"/>
            <w:tcBorders>
              <w:top w:val="single" w:sz="8" w:color="0000EE"/>
            </w:tcBorders>
            <w:shd w:val="clear" w:color="auto" w:fill="CCEEFF"/>
          </w:tcPr>
          <w:p>
            <w:pPr>
              <w:spacing w:after="0" w:line="20" w:lineRule="exact"/>
              <w:rPr>
                <w:sz w:val="1"/>
                <w:szCs w:val="1"/>
                <w:color w:val="auto"/>
              </w:rPr>
            </w:pPr>
          </w:p>
        </w:tc>
        <w:tc>
          <w:tcPr>
            <w:tcW w:w="108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240" w:type="dxa"/>
            <w:vAlign w:val="bottom"/>
            <w:tcBorders>
              <w:top w:val="single" w:sz="8" w:color="0000EE"/>
            </w:tcBorders>
            <w:shd w:val="clear" w:color="auto" w:fill="CCEEFF"/>
          </w:tcPr>
          <w:p>
            <w:pPr>
              <w:spacing w:after="0" w:line="20" w:lineRule="exact"/>
              <w:rPr>
                <w:sz w:val="1"/>
                <w:szCs w:val="1"/>
                <w:color w:val="auto"/>
              </w:rPr>
            </w:pPr>
          </w:p>
        </w:tc>
        <w:tc>
          <w:tcPr>
            <w:tcW w:w="1160" w:type="dxa"/>
            <w:vAlign w:val="bottom"/>
            <w:tcBorders>
              <w:top w:val="single" w:sz="8" w:color="0000EE"/>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10.7</w:t>
            </w:r>
          </w:p>
        </w:tc>
        <w:tc>
          <w:tcPr>
            <w:tcW w:w="10100" w:type="dxa"/>
            <w:vAlign w:val="bottom"/>
            <w:tcBorders>
              <w:bottom w:val="single" w:sz="8" w:color="0000EE"/>
            </w:tcBorders>
            <w:gridSpan w:val="17"/>
          </w:tcPr>
          <w:p>
            <w:pPr>
              <w:spacing w:after="0" w:line="176" w:lineRule="exact"/>
              <w:rPr>
                <w:rFonts w:ascii="Times New Roman" w:cs="Times New Roman" w:eastAsia="Times New Roman" w:hAnsi="Times New Roman"/>
                <w:sz w:val="18"/>
                <w:szCs w:val="18"/>
                <w:color w:val="0000EE"/>
              </w:rPr>
            </w:pPr>
            <w:hyperlink r:id="rId87">
              <w:r>
                <w:rPr>
                  <w:rFonts w:ascii="Times New Roman" w:cs="Times New Roman" w:eastAsia="Times New Roman" w:hAnsi="Times New Roman"/>
                  <w:sz w:val="18"/>
                  <w:szCs w:val="18"/>
                  <w:color w:val="0000EE"/>
                </w:rPr>
                <w:t>Securities Purchase Agreement between the Company and the investor named therein, dated May 21, 2025 (incorporated by reference to</w:t>
              </w:r>
            </w:hyperlink>
          </w:p>
        </w:tc>
      </w:tr>
      <w:tr>
        <w:trPr>
          <w:trHeight w:val="196"/>
        </w:trPr>
        <w:tc>
          <w:tcPr>
            <w:tcW w:w="1140" w:type="dxa"/>
            <w:vAlign w:val="bottom"/>
          </w:tcPr>
          <w:p>
            <w:pPr>
              <w:spacing w:after="0"/>
              <w:rPr>
                <w:sz w:val="17"/>
                <w:szCs w:val="17"/>
                <w:color w:val="auto"/>
              </w:rPr>
            </w:pPr>
          </w:p>
        </w:tc>
        <w:tc>
          <w:tcPr>
            <w:tcW w:w="10100" w:type="dxa"/>
            <w:vAlign w:val="bottom"/>
            <w:gridSpan w:val="17"/>
          </w:tcPr>
          <w:p>
            <w:pPr>
              <w:spacing w:after="0" w:line="196" w:lineRule="exact"/>
              <w:rPr>
                <w:rFonts w:ascii="Times New Roman" w:cs="Times New Roman" w:eastAsia="Times New Roman" w:hAnsi="Times New Roman"/>
                <w:sz w:val="18"/>
                <w:szCs w:val="18"/>
                <w:color w:val="0000EE"/>
              </w:rPr>
            </w:pPr>
            <w:hyperlink r:id="rId87">
              <w:r>
                <w:rPr>
                  <w:rFonts w:ascii="Times New Roman" w:cs="Times New Roman" w:eastAsia="Times New Roman" w:hAnsi="Times New Roman"/>
                  <w:sz w:val="18"/>
                  <w:szCs w:val="18"/>
                  <w:color w:val="0000EE"/>
                </w:rPr>
                <w:t>Exhibit 10.7 to the Company’s Form 20-F filed with the SEC on July 31, 2025)</w:t>
              </w:r>
            </w:hyperlink>
          </w:p>
        </w:tc>
      </w:tr>
      <w:tr>
        <w:trPr>
          <w:trHeight w:val="20"/>
        </w:trPr>
        <w:tc>
          <w:tcPr>
            <w:tcW w:w="114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32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10.7.1</w:t>
            </w:r>
          </w:p>
        </w:tc>
        <w:tc>
          <w:tcPr>
            <w:tcW w:w="10100" w:type="dxa"/>
            <w:vAlign w:val="bottom"/>
            <w:tcBorders>
              <w:bottom w:val="single" w:sz="8" w:color="0000EE"/>
            </w:tcBorders>
            <w:gridSpan w:val="17"/>
            <w:shd w:val="clear" w:color="auto" w:fill="CCEEFF"/>
          </w:tcPr>
          <w:p>
            <w:pPr>
              <w:spacing w:after="0" w:line="176" w:lineRule="exact"/>
              <w:rPr>
                <w:rFonts w:ascii="Times New Roman" w:cs="Times New Roman" w:eastAsia="Times New Roman" w:hAnsi="Times New Roman"/>
                <w:sz w:val="18"/>
                <w:szCs w:val="18"/>
                <w:color w:val="0000EE"/>
              </w:rPr>
            </w:pPr>
            <w:hyperlink r:id="rId88">
              <w:r>
                <w:rPr>
                  <w:rFonts w:ascii="Times New Roman" w:cs="Times New Roman" w:eastAsia="Times New Roman" w:hAnsi="Times New Roman"/>
                  <w:sz w:val="18"/>
                  <w:szCs w:val="18"/>
                  <w:color w:val="0000EE"/>
                </w:rPr>
                <w:t>Form of Amendment, Waiver and Exchange Agreement (incorporated by reference to Exhibit 10.1 to the Company’s Form 6-K filed with</w:t>
              </w:r>
            </w:hyperlink>
          </w:p>
        </w:tc>
      </w:tr>
      <w:tr>
        <w:trPr>
          <w:trHeight w:val="196"/>
        </w:trPr>
        <w:tc>
          <w:tcPr>
            <w:tcW w:w="1140" w:type="dxa"/>
            <w:vAlign w:val="bottom"/>
            <w:shd w:val="clear" w:color="auto" w:fill="CCEEFF"/>
          </w:tcPr>
          <w:p>
            <w:pPr>
              <w:spacing w:after="0"/>
              <w:rPr>
                <w:sz w:val="17"/>
                <w:szCs w:val="17"/>
                <w:color w:val="auto"/>
              </w:rPr>
            </w:pPr>
          </w:p>
        </w:tc>
        <w:tc>
          <w:tcPr>
            <w:tcW w:w="10100" w:type="dxa"/>
            <w:vAlign w:val="bottom"/>
            <w:gridSpan w:val="17"/>
            <w:shd w:val="clear" w:color="auto" w:fill="CCEEFF"/>
          </w:tcPr>
          <w:p>
            <w:pPr>
              <w:spacing w:after="0" w:line="196" w:lineRule="exact"/>
              <w:rPr>
                <w:rFonts w:ascii="Times New Roman" w:cs="Times New Roman" w:eastAsia="Times New Roman" w:hAnsi="Times New Roman"/>
                <w:sz w:val="18"/>
                <w:szCs w:val="18"/>
                <w:color w:val="0000EE"/>
              </w:rPr>
            </w:pPr>
            <w:hyperlink r:id="rId88">
              <w:r>
                <w:rPr>
                  <w:rFonts w:ascii="Times New Roman" w:cs="Times New Roman" w:eastAsia="Times New Roman" w:hAnsi="Times New Roman"/>
                  <w:sz w:val="18"/>
                  <w:szCs w:val="18"/>
                  <w:color w:val="0000EE"/>
                </w:rPr>
                <w:t>the SEC on April 29, 2026)</w:t>
              </w:r>
            </w:hyperlink>
          </w:p>
        </w:tc>
      </w:tr>
      <w:tr>
        <w:trPr>
          <w:trHeight w:val="21"/>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10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10.8</w:t>
            </w:r>
          </w:p>
        </w:tc>
        <w:tc>
          <w:tcPr>
            <w:tcW w:w="10100" w:type="dxa"/>
            <w:vAlign w:val="bottom"/>
            <w:gridSpan w:val="17"/>
          </w:tcPr>
          <w:p>
            <w:pPr>
              <w:spacing w:after="0" w:line="176" w:lineRule="exact"/>
              <w:rPr>
                <w:rFonts w:ascii="Times New Roman" w:cs="Times New Roman" w:eastAsia="Times New Roman" w:hAnsi="Times New Roman"/>
                <w:sz w:val="18"/>
                <w:szCs w:val="18"/>
                <w:color w:val="0000EE"/>
              </w:rPr>
            </w:pPr>
            <w:hyperlink r:id="rId89">
              <w:r>
                <w:rPr>
                  <w:rFonts w:ascii="Times New Roman" w:cs="Times New Roman" w:eastAsia="Times New Roman" w:hAnsi="Times New Roman"/>
                  <w:sz w:val="18"/>
                  <w:szCs w:val="18"/>
                  <w:color w:val="0000EE"/>
                </w:rPr>
                <w:t>Registration Rights Agreement between the Company and the buyer named therein, dated May 21, 2025 (incorporated by reference to</w:t>
              </w:r>
            </w:hyperlink>
          </w:p>
        </w:tc>
      </w:tr>
      <w:tr>
        <w:trPr>
          <w:trHeight w:val="196"/>
        </w:trPr>
        <w:tc>
          <w:tcPr>
            <w:tcW w:w="1140" w:type="dxa"/>
            <w:vAlign w:val="bottom"/>
          </w:tcPr>
          <w:p>
            <w:pPr>
              <w:spacing w:after="0"/>
              <w:rPr>
                <w:sz w:val="17"/>
                <w:szCs w:val="17"/>
                <w:color w:val="auto"/>
              </w:rPr>
            </w:pPr>
          </w:p>
        </w:tc>
        <w:tc>
          <w:tcPr>
            <w:tcW w:w="10080" w:type="dxa"/>
            <w:vAlign w:val="bottom"/>
            <w:tcBorders>
              <w:top w:val="single" w:sz="8" w:color="0000EE"/>
            </w:tcBorders>
            <w:gridSpan w:val="16"/>
          </w:tcPr>
          <w:p>
            <w:pPr>
              <w:spacing w:after="0" w:line="196" w:lineRule="exact"/>
              <w:rPr>
                <w:rFonts w:ascii="Times New Roman" w:cs="Times New Roman" w:eastAsia="Times New Roman" w:hAnsi="Times New Roman"/>
                <w:sz w:val="18"/>
                <w:szCs w:val="18"/>
                <w:color w:val="0000EE"/>
              </w:rPr>
            </w:pPr>
            <w:hyperlink r:id="rId89">
              <w:r>
                <w:rPr>
                  <w:rFonts w:ascii="Times New Roman" w:cs="Times New Roman" w:eastAsia="Times New Roman" w:hAnsi="Times New Roman"/>
                  <w:sz w:val="18"/>
                  <w:szCs w:val="18"/>
                  <w:color w:val="0000EE"/>
                </w:rPr>
                <w:t>Exhibit 10.8 to the Company’s Form 20-F filed with the SEC on July 31, 2025)</w:t>
              </w:r>
            </w:hyperlink>
          </w:p>
        </w:tc>
        <w:tc>
          <w:tcPr>
            <w:tcW w:w="2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07"/>
        </w:trPr>
        <w:tc>
          <w:tcPr>
            <w:tcW w:w="1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10.9#</w:t>
            </w:r>
          </w:p>
        </w:tc>
        <w:tc>
          <w:tcPr>
            <w:tcW w:w="10100" w:type="dxa"/>
            <w:vAlign w:val="bottom"/>
            <w:tcBorders>
              <w:bottom w:val="single" w:sz="8" w:color="0000EE"/>
            </w:tcBorders>
            <w:gridSpan w:val="12"/>
            <w:shd w:val="clear" w:color="auto" w:fill="CCEEFF"/>
          </w:tcPr>
          <w:p>
            <w:pPr>
              <w:spacing w:after="0"/>
              <w:rPr>
                <w:rFonts w:ascii="Times New Roman" w:cs="Times New Roman" w:eastAsia="Times New Roman" w:hAnsi="Times New Roman"/>
                <w:sz w:val="18"/>
                <w:szCs w:val="18"/>
                <w:color w:val="0000EE"/>
              </w:rPr>
            </w:pPr>
            <w:hyperlink r:id="rId91">
              <w:r>
                <w:rPr>
                  <w:rFonts w:ascii="Times New Roman" w:cs="Times New Roman" w:eastAsia="Times New Roman" w:hAnsi="Times New Roman"/>
                  <w:sz w:val="18"/>
                  <w:szCs w:val="18"/>
                  <w:color w:val="0000EE"/>
                </w:rPr>
                <w:t>Sales and Purchase Agreement by and between Ludus Asia Pte. Ltd. and Vendors dated July 31, 2022 (incorporated by reference to Exhibit</w:t>
              </w:r>
            </w:hyperlink>
          </w:p>
        </w:tc>
      </w:tr>
      <w:tr>
        <w:trPr>
          <w:trHeight w:val="217"/>
        </w:trPr>
        <w:tc>
          <w:tcPr>
            <w:tcW w:w="1140" w:type="dxa"/>
            <w:vAlign w:val="bottom"/>
            <w:tcBorders>
              <w:bottom w:val="single" w:sz="8" w:color="CCEEFF"/>
            </w:tcBorders>
            <w:shd w:val="clear" w:color="auto" w:fill="CCEEFF"/>
          </w:tcPr>
          <w:p>
            <w:pPr>
              <w:spacing w:after="0"/>
              <w:rPr>
                <w:sz w:val="18"/>
                <w:szCs w:val="18"/>
                <w:color w:val="auto"/>
              </w:rPr>
            </w:pPr>
          </w:p>
        </w:tc>
        <w:tc>
          <w:tcPr>
            <w:tcW w:w="8680" w:type="dxa"/>
            <w:vAlign w:val="bottom"/>
            <w:tcBorders>
              <w:bottom w:val="single" w:sz="8" w:color="0000EE"/>
            </w:tcBorders>
            <w:gridSpan w:val="10"/>
            <w:shd w:val="clear" w:color="auto" w:fill="CCEEFF"/>
          </w:tcPr>
          <w:p>
            <w:pPr>
              <w:spacing w:after="0" w:line="196" w:lineRule="exact"/>
              <w:rPr>
                <w:rFonts w:ascii="Times New Roman" w:cs="Times New Roman" w:eastAsia="Times New Roman" w:hAnsi="Times New Roman"/>
                <w:sz w:val="18"/>
                <w:szCs w:val="18"/>
                <w:color w:val="0000EE"/>
                <w:w w:val="99"/>
              </w:rPr>
            </w:pPr>
            <w:hyperlink r:id="rId91">
              <w:r>
                <w:rPr>
                  <w:rFonts w:ascii="Times New Roman" w:cs="Times New Roman" w:eastAsia="Times New Roman" w:hAnsi="Times New Roman"/>
                  <w:sz w:val="18"/>
                  <w:szCs w:val="18"/>
                  <w:color w:val="0000EE"/>
                  <w:w w:val="99"/>
                </w:rPr>
                <w:t>10.</w:t>
              </w:r>
              <w:r>
                <w:rPr>
                  <w:rFonts w:ascii="Times New Roman" w:cs="Times New Roman" w:eastAsia="Times New Roman" w:hAnsi="Times New Roman"/>
                  <w:sz w:val="18"/>
                  <w:szCs w:val="18"/>
                  <w:u w:val="single" w:color="auto"/>
                  <w:color w:val="0000EE"/>
                  <w:w w:val="99"/>
                </w:rPr>
                <w:t>5</w:t>
              </w:r>
              <w:r>
                <w:rPr>
                  <w:rFonts w:ascii="Times New Roman" w:cs="Times New Roman" w:eastAsia="Times New Roman" w:hAnsi="Times New Roman"/>
                  <w:sz w:val="18"/>
                  <w:szCs w:val="18"/>
                  <w:color w:val="0000EE"/>
                  <w:w w:val="99"/>
                </w:rPr>
                <w:t xml:space="preserve"> of the Company’s registration statement on Form F-4 (File 333-280559) filed with the SEC on December 26, 2024)</w:t>
              </w:r>
            </w:hyperlink>
          </w:p>
        </w:tc>
        <w:tc>
          <w:tcPr>
            <w:tcW w:w="1420" w:type="dxa"/>
            <w:vAlign w:val="bottom"/>
            <w:tcBorders>
              <w:bottom w:val="single" w:sz="8" w:color="CCEEFF"/>
            </w:tcBorders>
            <w:gridSpan w:val="2"/>
            <w:shd w:val="clear" w:color="auto" w:fill="CCEEFF"/>
          </w:tcPr>
          <w:p>
            <w:pPr>
              <w:spacing w:after="0"/>
              <w:rPr>
                <w:sz w:val="18"/>
                <w:szCs w:val="18"/>
                <w:color w:val="auto"/>
              </w:rPr>
            </w:pPr>
          </w:p>
        </w:tc>
      </w:tr>
      <w:tr>
        <w:trPr>
          <w:trHeight w:val="176"/>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10.10</w:t>
            </w:r>
          </w:p>
        </w:tc>
        <w:tc>
          <w:tcPr>
            <w:tcW w:w="10100" w:type="dxa"/>
            <w:vAlign w:val="bottom"/>
            <w:tcBorders>
              <w:bottom w:val="single" w:sz="8" w:color="0000EE"/>
            </w:tcBorders>
            <w:gridSpan w:val="12"/>
          </w:tcPr>
          <w:p>
            <w:pPr>
              <w:spacing w:after="0" w:line="176" w:lineRule="exact"/>
              <w:rPr>
                <w:rFonts w:ascii="Times New Roman" w:cs="Times New Roman" w:eastAsia="Times New Roman" w:hAnsi="Times New Roman"/>
                <w:sz w:val="18"/>
                <w:szCs w:val="18"/>
                <w:color w:val="0000EE"/>
              </w:rPr>
            </w:pPr>
            <w:hyperlink r:id="rId92">
              <w:r>
                <w:rPr>
                  <w:rFonts w:ascii="Times New Roman" w:cs="Times New Roman" w:eastAsia="Times New Roman" w:hAnsi="Times New Roman"/>
                  <w:sz w:val="18"/>
                  <w:szCs w:val="18"/>
                  <w:color w:val="0000EE"/>
                </w:rPr>
                <w:t>The First Contract Addendum for the Sales and Purchase Agreement by and between Ludus Asia Pte. Ltd. and Vendors dated July 31, 2022</w:t>
              </w:r>
            </w:hyperlink>
          </w:p>
        </w:tc>
      </w:tr>
      <w:tr>
        <w:trPr>
          <w:trHeight w:val="196"/>
        </w:trPr>
        <w:tc>
          <w:tcPr>
            <w:tcW w:w="1140" w:type="dxa"/>
            <w:vAlign w:val="bottom"/>
          </w:tcPr>
          <w:p>
            <w:pPr>
              <w:spacing w:after="0"/>
              <w:rPr>
                <w:sz w:val="17"/>
                <w:szCs w:val="17"/>
                <w:color w:val="auto"/>
              </w:rPr>
            </w:pPr>
          </w:p>
        </w:tc>
        <w:tc>
          <w:tcPr>
            <w:tcW w:w="10100" w:type="dxa"/>
            <w:vAlign w:val="bottom"/>
            <w:gridSpan w:val="12"/>
          </w:tcPr>
          <w:p>
            <w:pPr>
              <w:spacing w:after="0" w:line="196" w:lineRule="exact"/>
              <w:rPr>
                <w:rFonts w:ascii="Times New Roman" w:cs="Times New Roman" w:eastAsia="Times New Roman" w:hAnsi="Times New Roman"/>
                <w:sz w:val="18"/>
                <w:szCs w:val="18"/>
                <w:color w:val="0000EE"/>
              </w:rPr>
            </w:pPr>
            <w:hyperlink r:id="rId92">
              <w:r>
                <w:rPr>
                  <w:rFonts w:ascii="Times New Roman" w:cs="Times New Roman" w:eastAsia="Times New Roman" w:hAnsi="Times New Roman"/>
                  <w:sz w:val="18"/>
                  <w:szCs w:val="18"/>
                  <w:color w:val="0000EE"/>
                </w:rPr>
                <w:t>(incorporated by reference to Exhibit 10.6 of the Company’s registration statement on Form F-4 (File 333-280559) filed with the SEC on</w:t>
              </w:r>
            </w:hyperlink>
          </w:p>
        </w:tc>
      </w:tr>
      <w:tr>
        <w:trPr>
          <w:trHeight w:val="196"/>
        </w:trPr>
        <w:tc>
          <w:tcPr>
            <w:tcW w:w="1140" w:type="dxa"/>
            <w:vAlign w:val="bottom"/>
          </w:tcPr>
          <w:p>
            <w:pPr>
              <w:spacing w:after="0"/>
              <w:rPr>
                <w:sz w:val="17"/>
                <w:szCs w:val="17"/>
                <w:color w:val="auto"/>
              </w:rPr>
            </w:pPr>
          </w:p>
        </w:tc>
        <w:tc>
          <w:tcPr>
            <w:tcW w:w="10080" w:type="dxa"/>
            <w:vAlign w:val="bottom"/>
            <w:tcBorders>
              <w:top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92">
              <w:r>
                <w:rPr>
                  <w:rFonts w:ascii="Times New Roman" w:cs="Times New Roman" w:eastAsia="Times New Roman" w:hAnsi="Times New Roman"/>
                  <w:sz w:val="18"/>
                  <w:szCs w:val="18"/>
                  <w:color w:val="0000EE"/>
                </w:rPr>
                <w:t>December 26, 2024)</w:t>
              </w:r>
            </w:hyperlink>
          </w:p>
        </w:tc>
        <w:tc>
          <w:tcPr>
            <w:tcW w:w="20" w:type="dxa"/>
            <w:vAlign w:val="bottom"/>
          </w:tcPr>
          <w:p>
            <w:pPr>
              <w:spacing w:after="0"/>
              <w:rPr>
                <w:sz w:val="17"/>
                <w:szCs w:val="17"/>
                <w:color w:val="auto"/>
              </w:rPr>
            </w:pPr>
          </w:p>
        </w:tc>
      </w:tr>
      <w:tr>
        <w:trPr>
          <w:trHeight w:val="21"/>
        </w:trPr>
        <w:tc>
          <w:tcPr>
            <w:tcW w:w="1140" w:type="dxa"/>
            <w:vAlign w:val="bottom"/>
          </w:tcPr>
          <w:p>
            <w:pPr>
              <w:spacing w:after="0" w:line="20" w:lineRule="exact"/>
              <w:rPr>
                <w:sz w:val="1"/>
                <w:szCs w:val="1"/>
                <w:color w:val="auto"/>
              </w:rPr>
            </w:pPr>
          </w:p>
        </w:tc>
        <w:tc>
          <w:tcPr>
            <w:tcW w:w="1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10.11</w:t>
            </w:r>
          </w:p>
        </w:tc>
        <w:tc>
          <w:tcPr>
            <w:tcW w:w="10100" w:type="dxa"/>
            <w:vAlign w:val="bottom"/>
            <w:tcBorders>
              <w:bottom w:val="single" w:sz="8" w:color="0000EE"/>
            </w:tcBorders>
            <w:gridSpan w:val="12"/>
            <w:shd w:val="clear" w:color="auto" w:fill="CCEEFF"/>
          </w:tcPr>
          <w:p>
            <w:pPr>
              <w:spacing w:after="0" w:line="176" w:lineRule="exact"/>
              <w:rPr>
                <w:rFonts w:ascii="Times New Roman" w:cs="Times New Roman" w:eastAsia="Times New Roman" w:hAnsi="Times New Roman"/>
                <w:sz w:val="18"/>
                <w:szCs w:val="18"/>
                <w:color w:val="0000EE"/>
              </w:rPr>
            </w:pPr>
            <w:hyperlink r:id="rId93">
              <w:r>
                <w:rPr>
                  <w:rFonts w:ascii="Times New Roman" w:cs="Times New Roman" w:eastAsia="Times New Roman" w:hAnsi="Times New Roman"/>
                  <w:sz w:val="18"/>
                  <w:szCs w:val="18"/>
                  <w:color w:val="0000EE"/>
                </w:rPr>
                <w:t>The Second Contract Addendum for the Sales and Purchase Agreement by and between Ludus Asia Pte. Ltd. and Vendors dated October</w:t>
              </w:r>
            </w:hyperlink>
          </w:p>
        </w:tc>
      </w:tr>
      <w:tr>
        <w:trPr>
          <w:trHeight w:val="196"/>
        </w:trPr>
        <w:tc>
          <w:tcPr>
            <w:tcW w:w="1140" w:type="dxa"/>
            <w:vAlign w:val="bottom"/>
            <w:tcBorders>
              <w:bottom w:val="single" w:sz="8" w:color="CCEEFF"/>
            </w:tcBorders>
            <w:shd w:val="clear" w:color="auto" w:fill="CCEEFF"/>
          </w:tcPr>
          <w:p>
            <w:pPr>
              <w:spacing w:after="0"/>
              <w:rPr>
                <w:sz w:val="17"/>
                <w:szCs w:val="17"/>
                <w:color w:val="auto"/>
              </w:rPr>
            </w:pPr>
          </w:p>
        </w:tc>
        <w:tc>
          <w:tcPr>
            <w:tcW w:w="10100" w:type="dxa"/>
            <w:vAlign w:val="bottom"/>
            <w:tcBorders>
              <w:bottom w:val="single" w:sz="8" w:color="0000EE"/>
            </w:tcBorders>
            <w:gridSpan w:val="12"/>
            <w:shd w:val="clear" w:color="auto" w:fill="CCEEFF"/>
          </w:tcPr>
          <w:p>
            <w:pPr>
              <w:spacing w:after="0" w:line="196" w:lineRule="exact"/>
              <w:rPr>
                <w:rFonts w:ascii="Times New Roman" w:cs="Times New Roman" w:eastAsia="Times New Roman" w:hAnsi="Times New Roman"/>
                <w:sz w:val="18"/>
                <w:szCs w:val="18"/>
                <w:color w:val="0000EE"/>
              </w:rPr>
            </w:pPr>
            <w:hyperlink r:id="rId93">
              <w:r>
                <w:rPr>
                  <w:rFonts w:ascii="Times New Roman" w:cs="Times New Roman" w:eastAsia="Times New Roman" w:hAnsi="Times New Roman"/>
                  <w:sz w:val="18"/>
                  <w:szCs w:val="18"/>
                  <w:color w:val="0000EE"/>
                </w:rPr>
                <w:t>17, 2023 (incorporated by reference to Exhibit 10.7 of the Company’s registration statement on Form F-4 (File 333-280559) filed with the</w:t>
              </w:r>
            </w:hyperlink>
          </w:p>
        </w:tc>
      </w:tr>
      <w:tr>
        <w:trPr>
          <w:trHeight w:val="217"/>
        </w:trPr>
        <w:tc>
          <w:tcPr>
            <w:tcW w:w="1140" w:type="dxa"/>
            <w:vAlign w:val="bottom"/>
            <w:tcBorders>
              <w:bottom w:val="single" w:sz="8" w:color="CCEEFF"/>
            </w:tcBorders>
            <w:shd w:val="clear" w:color="auto" w:fill="CCEEFF"/>
          </w:tcPr>
          <w:p>
            <w:pPr>
              <w:spacing w:after="0"/>
              <w:rPr>
                <w:sz w:val="18"/>
                <w:szCs w:val="18"/>
                <w:color w:val="auto"/>
              </w:rPr>
            </w:pPr>
          </w:p>
        </w:tc>
        <w:tc>
          <w:tcPr>
            <w:tcW w:w="2080" w:type="dxa"/>
            <w:vAlign w:val="bottom"/>
            <w:tcBorders>
              <w:bottom w:val="single" w:sz="8" w:color="0000EE"/>
            </w:tcBorders>
            <w:gridSpan w:val="5"/>
            <w:shd w:val="clear" w:color="auto" w:fill="CCEEFF"/>
          </w:tcPr>
          <w:p>
            <w:pPr>
              <w:spacing w:after="0" w:line="196" w:lineRule="exact"/>
              <w:rPr>
                <w:rFonts w:ascii="Times New Roman" w:cs="Times New Roman" w:eastAsia="Times New Roman" w:hAnsi="Times New Roman"/>
                <w:sz w:val="18"/>
                <w:szCs w:val="18"/>
                <w:color w:val="0000EE"/>
                <w:w w:val="99"/>
              </w:rPr>
            </w:pPr>
            <w:hyperlink r:id="rId93">
              <w:r>
                <w:rPr>
                  <w:rFonts w:ascii="Times New Roman" w:cs="Times New Roman" w:eastAsia="Times New Roman" w:hAnsi="Times New Roman"/>
                  <w:sz w:val="18"/>
                  <w:szCs w:val="18"/>
                  <w:color w:val="0000EE"/>
                  <w:w w:val="99"/>
                </w:rPr>
                <w:t>SEC on December 26, 2024)</w:t>
              </w:r>
            </w:hyperlink>
          </w:p>
        </w:tc>
        <w:tc>
          <w:tcPr>
            <w:tcW w:w="8020" w:type="dxa"/>
            <w:vAlign w:val="bottom"/>
            <w:tcBorders>
              <w:bottom w:val="single" w:sz="8" w:color="CCEEFF"/>
            </w:tcBorders>
            <w:gridSpan w:val="7"/>
            <w:shd w:val="clear" w:color="auto" w:fill="CCEEFF"/>
          </w:tcPr>
          <w:p>
            <w:pPr>
              <w:spacing w:after="0"/>
              <w:rPr>
                <w:sz w:val="18"/>
                <w:szCs w:val="18"/>
                <w:color w:val="auto"/>
              </w:rPr>
            </w:pPr>
          </w:p>
        </w:tc>
      </w:tr>
      <w:tr>
        <w:trPr>
          <w:trHeight w:val="176"/>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10.12</w:t>
            </w:r>
          </w:p>
        </w:tc>
        <w:tc>
          <w:tcPr>
            <w:tcW w:w="10100" w:type="dxa"/>
            <w:vAlign w:val="bottom"/>
            <w:tcBorders>
              <w:bottom w:val="single" w:sz="8" w:color="0000EE"/>
            </w:tcBorders>
            <w:gridSpan w:val="12"/>
          </w:tcPr>
          <w:p>
            <w:pPr>
              <w:spacing w:after="0" w:line="176" w:lineRule="exact"/>
              <w:rPr>
                <w:rFonts w:ascii="Times New Roman" w:cs="Times New Roman" w:eastAsia="Times New Roman" w:hAnsi="Times New Roman"/>
                <w:sz w:val="18"/>
                <w:szCs w:val="18"/>
                <w:color w:val="0000EE"/>
              </w:rPr>
            </w:pPr>
            <w:hyperlink r:id="rId94">
              <w:r>
                <w:rPr>
                  <w:rFonts w:ascii="Times New Roman" w:cs="Times New Roman" w:eastAsia="Times New Roman" w:hAnsi="Times New Roman"/>
                  <w:sz w:val="18"/>
                  <w:szCs w:val="18"/>
                  <w:color w:val="0000EE"/>
                </w:rPr>
                <w:t>The Third Contract Addendum for the Sales and Purchase Agreement by and between GCL Global Pte. Ltd. (formerly known as Ludus</w:t>
              </w:r>
            </w:hyperlink>
          </w:p>
        </w:tc>
      </w:tr>
      <w:tr>
        <w:trPr>
          <w:trHeight w:val="196"/>
        </w:trPr>
        <w:tc>
          <w:tcPr>
            <w:tcW w:w="1140" w:type="dxa"/>
            <w:vAlign w:val="bottom"/>
          </w:tcPr>
          <w:p>
            <w:pPr>
              <w:spacing w:after="0"/>
              <w:rPr>
                <w:sz w:val="17"/>
                <w:szCs w:val="17"/>
                <w:color w:val="auto"/>
              </w:rPr>
            </w:pPr>
          </w:p>
        </w:tc>
        <w:tc>
          <w:tcPr>
            <w:tcW w:w="1010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94">
              <w:r>
                <w:rPr>
                  <w:rFonts w:ascii="Times New Roman" w:cs="Times New Roman" w:eastAsia="Times New Roman" w:hAnsi="Times New Roman"/>
                  <w:sz w:val="18"/>
                  <w:szCs w:val="18"/>
                  <w:color w:val="0000EE"/>
                </w:rPr>
                <w:t>Asia Pte. Ltd.) and Vendors dated December 29, 2024 (incorporated by reference to Exhibit 10.12 to the Company’s Form 20-F filed with</w:t>
              </w:r>
            </w:hyperlink>
          </w:p>
        </w:tc>
      </w:tr>
      <w:tr>
        <w:trPr>
          <w:trHeight w:val="196"/>
        </w:trPr>
        <w:tc>
          <w:tcPr>
            <w:tcW w:w="1140" w:type="dxa"/>
            <w:vAlign w:val="bottom"/>
          </w:tcPr>
          <w:p>
            <w:pPr>
              <w:spacing w:after="0"/>
              <w:rPr>
                <w:sz w:val="17"/>
                <w:szCs w:val="17"/>
                <w:color w:val="auto"/>
              </w:rPr>
            </w:pPr>
          </w:p>
        </w:tc>
        <w:tc>
          <w:tcPr>
            <w:tcW w:w="10100" w:type="dxa"/>
            <w:vAlign w:val="bottom"/>
            <w:gridSpan w:val="12"/>
          </w:tcPr>
          <w:p>
            <w:pPr>
              <w:spacing w:after="0" w:line="196" w:lineRule="exact"/>
              <w:rPr>
                <w:rFonts w:ascii="Times New Roman" w:cs="Times New Roman" w:eastAsia="Times New Roman" w:hAnsi="Times New Roman"/>
                <w:sz w:val="18"/>
                <w:szCs w:val="18"/>
                <w:color w:val="0000EE"/>
              </w:rPr>
            </w:pPr>
            <w:hyperlink r:id="rId94">
              <w:r>
                <w:rPr>
                  <w:rFonts w:ascii="Times New Roman" w:cs="Times New Roman" w:eastAsia="Times New Roman" w:hAnsi="Times New Roman"/>
                  <w:sz w:val="18"/>
                  <w:szCs w:val="18"/>
                  <w:color w:val="0000EE"/>
                </w:rPr>
                <w:t>the SEC on July 31, 2025)</w:t>
              </w:r>
            </w:hyperlink>
          </w:p>
        </w:tc>
      </w:tr>
      <w:tr>
        <w:trPr>
          <w:trHeight w:val="21"/>
        </w:trPr>
        <w:tc>
          <w:tcPr>
            <w:tcW w:w="1140" w:type="dxa"/>
            <w:vAlign w:val="bottom"/>
          </w:tcPr>
          <w:p>
            <w:pPr>
              <w:spacing w:after="0" w:line="20" w:lineRule="exact"/>
              <w:rPr>
                <w:sz w:val="1"/>
                <w:szCs w:val="1"/>
                <w:color w:val="auto"/>
              </w:rPr>
            </w:pPr>
          </w:p>
        </w:tc>
        <w:tc>
          <w:tcPr>
            <w:tcW w:w="1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10.13##</w:t>
            </w:r>
          </w:p>
        </w:tc>
        <w:tc>
          <w:tcPr>
            <w:tcW w:w="10100" w:type="dxa"/>
            <w:vAlign w:val="bottom"/>
            <w:tcBorders>
              <w:bottom w:val="single" w:sz="8" w:color="0000EE"/>
            </w:tcBorders>
            <w:gridSpan w:val="12"/>
            <w:shd w:val="clear" w:color="auto" w:fill="CCEEFF"/>
          </w:tcPr>
          <w:p>
            <w:pPr>
              <w:spacing w:after="0" w:line="176" w:lineRule="exact"/>
              <w:rPr>
                <w:rFonts w:ascii="Times New Roman" w:cs="Times New Roman" w:eastAsia="Times New Roman" w:hAnsi="Times New Roman"/>
                <w:sz w:val="18"/>
                <w:szCs w:val="18"/>
                <w:color w:val="0000EE"/>
              </w:rPr>
            </w:pPr>
            <w:hyperlink r:id="rId95">
              <w:r>
                <w:rPr>
                  <w:rFonts w:ascii="Times New Roman" w:cs="Times New Roman" w:eastAsia="Times New Roman" w:hAnsi="Times New Roman"/>
                  <w:sz w:val="18"/>
                  <w:szCs w:val="18"/>
                  <w:color w:val="0000EE"/>
                </w:rPr>
                <w:t>Share Sale and Purchase Agreement dated March 19, 2025 by and between GCL Global Pte. Ltd. and parties named therein (incorporated</w:t>
              </w:r>
            </w:hyperlink>
          </w:p>
        </w:tc>
      </w:tr>
      <w:tr>
        <w:trPr>
          <w:trHeight w:val="196"/>
        </w:trPr>
        <w:tc>
          <w:tcPr>
            <w:tcW w:w="1140" w:type="dxa"/>
            <w:vAlign w:val="bottom"/>
            <w:shd w:val="clear" w:color="auto" w:fill="CCEEFF"/>
          </w:tcPr>
          <w:p>
            <w:pPr>
              <w:spacing w:after="0"/>
              <w:rPr>
                <w:sz w:val="17"/>
                <w:szCs w:val="17"/>
                <w:color w:val="auto"/>
              </w:rPr>
            </w:pPr>
          </w:p>
        </w:tc>
        <w:tc>
          <w:tcPr>
            <w:tcW w:w="10100" w:type="dxa"/>
            <w:vAlign w:val="bottom"/>
            <w:gridSpan w:val="12"/>
            <w:shd w:val="clear" w:color="auto" w:fill="CCEEFF"/>
          </w:tcPr>
          <w:p>
            <w:pPr>
              <w:spacing w:after="0" w:line="196" w:lineRule="exact"/>
              <w:rPr>
                <w:rFonts w:ascii="Times New Roman" w:cs="Times New Roman" w:eastAsia="Times New Roman" w:hAnsi="Times New Roman"/>
                <w:sz w:val="18"/>
                <w:szCs w:val="18"/>
                <w:color w:val="0000EE"/>
              </w:rPr>
            </w:pPr>
            <w:hyperlink r:id="rId95">
              <w:r>
                <w:rPr>
                  <w:rFonts w:ascii="Times New Roman" w:cs="Times New Roman" w:eastAsia="Times New Roman" w:hAnsi="Times New Roman"/>
                  <w:sz w:val="18"/>
                  <w:szCs w:val="18"/>
                  <w:color w:val="0000EE"/>
                </w:rPr>
                <w:t>by reference to Exhibit 10.13 to the Company’s Form 20-F filed with the SEC on July 31, 2025)</w:t>
              </w:r>
            </w:hyperlink>
          </w:p>
        </w:tc>
      </w:tr>
      <w:tr>
        <w:trPr>
          <w:trHeight w:val="21"/>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000" w:type="dxa"/>
            <w:vAlign w:val="bottom"/>
            <w:tcBorders>
              <w:top w:val="single" w:sz="8" w:color="0000EE"/>
            </w:tcBorders>
            <w:shd w:val="clear" w:color="auto" w:fill="CCEEFF"/>
          </w:tcPr>
          <w:p>
            <w:pPr>
              <w:spacing w:after="0" w:line="20" w:lineRule="exact"/>
              <w:rPr>
                <w:sz w:val="1"/>
                <w:szCs w:val="1"/>
                <w:color w:val="auto"/>
              </w:rPr>
            </w:pPr>
          </w:p>
        </w:tc>
        <w:tc>
          <w:tcPr>
            <w:tcW w:w="3540" w:type="dxa"/>
            <w:vAlign w:val="bottom"/>
            <w:tcBorders>
              <w:top w:val="single" w:sz="8" w:color="0000EE"/>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10.14</w:t>
            </w:r>
          </w:p>
        </w:tc>
        <w:tc>
          <w:tcPr>
            <w:tcW w:w="10100" w:type="dxa"/>
            <w:vAlign w:val="bottom"/>
            <w:gridSpan w:val="12"/>
          </w:tcPr>
          <w:p>
            <w:pPr>
              <w:spacing w:after="0" w:line="176" w:lineRule="exact"/>
              <w:rPr>
                <w:rFonts w:ascii="Times New Roman" w:cs="Times New Roman" w:eastAsia="Times New Roman" w:hAnsi="Times New Roman"/>
                <w:sz w:val="18"/>
                <w:szCs w:val="18"/>
                <w:color w:val="0000EE"/>
              </w:rPr>
            </w:pPr>
            <w:hyperlink r:id="rId96">
              <w:r>
                <w:rPr>
                  <w:rFonts w:ascii="Times New Roman" w:cs="Times New Roman" w:eastAsia="Times New Roman" w:hAnsi="Times New Roman"/>
                  <w:sz w:val="18"/>
                  <w:szCs w:val="18"/>
                  <w:color w:val="0000EE"/>
                </w:rPr>
                <w:t>Form of Director Indemnification Agreement (incorporated by reference to Exhibit 10.6 of the Company’s Shell Company Report on Form</w:t>
              </w:r>
            </w:hyperlink>
          </w:p>
        </w:tc>
      </w:tr>
      <w:tr>
        <w:trPr>
          <w:trHeight w:val="196"/>
        </w:trPr>
        <w:tc>
          <w:tcPr>
            <w:tcW w:w="1140" w:type="dxa"/>
            <w:vAlign w:val="bottom"/>
          </w:tcPr>
          <w:p>
            <w:pPr>
              <w:spacing w:after="0"/>
              <w:rPr>
                <w:sz w:val="17"/>
                <w:szCs w:val="17"/>
                <w:color w:val="auto"/>
              </w:rPr>
            </w:pPr>
          </w:p>
        </w:tc>
        <w:tc>
          <w:tcPr>
            <w:tcW w:w="10080" w:type="dxa"/>
            <w:vAlign w:val="bottom"/>
            <w:tcBorders>
              <w:top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96">
              <w:r>
                <w:rPr>
                  <w:rFonts w:ascii="Times New Roman" w:cs="Times New Roman" w:eastAsia="Times New Roman" w:hAnsi="Times New Roman"/>
                  <w:sz w:val="18"/>
                  <w:szCs w:val="18"/>
                  <w:color w:val="0000EE"/>
                </w:rPr>
                <w:t>20-F filed with the SEC on February 26, 2025)</w:t>
              </w:r>
            </w:hyperlink>
          </w:p>
        </w:tc>
        <w:tc>
          <w:tcPr>
            <w:tcW w:w="2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1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10.15</w:t>
            </w:r>
          </w:p>
        </w:tc>
        <w:tc>
          <w:tcPr>
            <w:tcW w:w="10100" w:type="dxa"/>
            <w:vAlign w:val="bottom"/>
            <w:tcBorders>
              <w:bottom w:val="single" w:sz="8" w:color="0000EE"/>
            </w:tcBorders>
            <w:gridSpan w:val="12"/>
            <w:shd w:val="clear" w:color="auto" w:fill="CCEEFF"/>
          </w:tcPr>
          <w:p>
            <w:pPr>
              <w:spacing w:after="0" w:line="176" w:lineRule="exact"/>
              <w:rPr>
                <w:rFonts w:ascii="Times New Roman" w:cs="Times New Roman" w:eastAsia="Times New Roman" w:hAnsi="Times New Roman"/>
                <w:sz w:val="18"/>
                <w:szCs w:val="18"/>
                <w:color w:val="0000EE"/>
              </w:rPr>
            </w:pPr>
            <w:hyperlink r:id="rId97">
              <w:r>
                <w:rPr>
                  <w:rFonts w:ascii="Times New Roman" w:cs="Times New Roman" w:eastAsia="Times New Roman" w:hAnsi="Times New Roman"/>
                  <w:sz w:val="18"/>
                  <w:szCs w:val="18"/>
                  <w:color w:val="0000EE"/>
                </w:rPr>
                <w:t>Equity Incentive Plan, effective February 13, 2025 (incorporated by reference to Exhibit 4.2 of the Company’s Form S-8 filed with the SEC</w:t>
              </w:r>
            </w:hyperlink>
          </w:p>
        </w:tc>
      </w:tr>
      <w:tr>
        <w:trPr>
          <w:trHeight w:val="196"/>
        </w:trPr>
        <w:tc>
          <w:tcPr>
            <w:tcW w:w="1140" w:type="dxa"/>
            <w:vAlign w:val="bottom"/>
            <w:shd w:val="clear" w:color="auto" w:fill="CCEEFF"/>
          </w:tcPr>
          <w:p>
            <w:pPr>
              <w:spacing w:after="0"/>
              <w:rPr>
                <w:sz w:val="17"/>
                <w:szCs w:val="17"/>
                <w:color w:val="auto"/>
              </w:rPr>
            </w:pPr>
          </w:p>
        </w:tc>
        <w:tc>
          <w:tcPr>
            <w:tcW w:w="10100" w:type="dxa"/>
            <w:vAlign w:val="bottom"/>
            <w:gridSpan w:val="12"/>
            <w:shd w:val="clear" w:color="auto" w:fill="CCEEFF"/>
          </w:tcPr>
          <w:p>
            <w:pPr>
              <w:spacing w:after="0" w:line="196" w:lineRule="exact"/>
              <w:rPr>
                <w:rFonts w:ascii="Times New Roman" w:cs="Times New Roman" w:eastAsia="Times New Roman" w:hAnsi="Times New Roman"/>
                <w:sz w:val="18"/>
                <w:szCs w:val="18"/>
                <w:color w:val="0000EE"/>
              </w:rPr>
            </w:pPr>
            <w:hyperlink r:id="rId97">
              <w:r>
                <w:rPr>
                  <w:rFonts w:ascii="Times New Roman" w:cs="Times New Roman" w:eastAsia="Times New Roman" w:hAnsi="Times New Roman"/>
                  <w:sz w:val="18"/>
                  <w:szCs w:val="18"/>
                  <w:color w:val="0000EE"/>
                </w:rPr>
                <w:t>on May 1, 2025)</w:t>
              </w:r>
            </w:hyperlink>
          </w:p>
        </w:tc>
      </w:tr>
      <w:tr>
        <w:trPr>
          <w:trHeight w:val="21"/>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354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21.1</w:t>
            </w:r>
          </w:p>
        </w:tc>
        <w:tc>
          <w:tcPr>
            <w:tcW w:w="10100" w:type="dxa"/>
            <w:vAlign w:val="bottom"/>
            <w:gridSpan w:val="12"/>
          </w:tcPr>
          <w:p>
            <w:pPr>
              <w:spacing w:after="0" w:line="176" w:lineRule="exact"/>
              <w:rPr>
                <w:rFonts w:ascii="Times New Roman" w:cs="Times New Roman" w:eastAsia="Times New Roman" w:hAnsi="Times New Roman"/>
                <w:sz w:val="18"/>
                <w:szCs w:val="18"/>
                <w:color w:val="0000EE"/>
              </w:rPr>
            </w:pPr>
            <w:hyperlink r:id="rId98">
              <w:r>
                <w:rPr>
                  <w:rFonts w:ascii="Times New Roman" w:cs="Times New Roman" w:eastAsia="Times New Roman" w:hAnsi="Times New Roman"/>
                  <w:sz w:val="18"/>
                  <w:szCs w:val="18"/>
                  <w:color w:val="0000EE"/>
                </w:rPr>
                <w:t>List of Subsidiaries (incorporated by reference to Exhibit 21 of the Company’s Form 20-F filed on July 31, 2025)</w:t>
              </w:r>
            </w:hyperlink>
          </w:p>
        </w:tc>
      </w:tr>
      <w:tr>
        <w:trPr>
          <w:trHeight w:val="21"/>
        </w:trPr>
        <w:tc>
          <w:tcPr>
            <w:tcW w:w="1140" w:type="dxa"/>
            <w:vAlign w:val="bottom"/>
          </w:tcPr>
          <w:p>
            <w:pPr>
              <w:spacing w:after="0" w:line="20" w:lineRule="exact"/>
              <w:rPr>
                <w:sz w:val="1"/>
                <w:szCs w:val="1"/>
                <w:color w:val="auto"/>
              </w:rPr>
            </w:pPr>
          </w:p>
        </w:tc>
        <w:tc>
          <w:tcPr>
            <w:tcW w:w="1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3540" w:type="dxa"/>
            <w:vAlign w:val="bottom"/>
            <w:tcBorders>
              <w:top w:val="single" w:sz="8" w:color="0000EE"/>
            </w:tcBorders>
          </w:tcPr>
          <w:p>
            <w:pPr>
              <w:spacing w:after="0" w:line="20" w:lineRule="exact"/>
              <w:rPr>
                <w:sz w:val="1"/>
                <w:szCs w:val="1"/>
                <w:color w:val="auto"/>
              </w:rPr>
            </w:pPr>
          </w:p>
        </w:tc>
        <w:tc>
          <w:tcPr>
            <w:tcW w:w="1240" w:type="dxa"/>
            <w:vAlign w:val="bottom"/>
            <w:tcBorders>
              <w:top w:val="single" w:sz="8" w:color="0000EE"/>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23.1*</w:t>
            </w:r>
          </w:p>
        </w:tc>
        <w:tc>
          <w:tcPr>
            <w:tcW w:w="10100" w:type="dxa"/>
            <w:vAlign w:val="bottom"/>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Consent from Marcum Asia LLP</w:t>
            </w:r>
          </w:p>
        </w:tc>
      </w:tr>
      <w:tr>
        <w:trPr>
          <w:trHeight w:val="176"/>
        </w:trPr>
        <w:tc>
          <w:tcPr>
            <w:tcW w:w="114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107**</w:t>
            </w:r>
          </w:p>
        </w:tc>
        <w:tc>
          <w:tcPr>
            <w:tcW w:w="1180" w:type="dxa"/>
            <w:vAlign w:val="bottom"/>
            <w:tcBorders>
              <w:top w:val="single" w:sz="8" w:color="0000EE"/>
              <w:bottom w:val="single" w:sz="8" w:color="0000EE"/>
            </w:tcBorders>
          </w:tcPr>
          <w:p>
            <w:pPr>
              <w:spacing w:after="0" w:line="176" w:lineRule="exact"/>
              <w:rPr>
                <w:rFonts w:ascii="Times New Roman" w:cs="Times New Roman" w:eastAsia="Times New Roman" w:hAnsi="Times New Roman"/>
                <w:sz w:val="18"/>
                <w:szCs w:val="18"/>
                <w:color w:val="0000EE"/>
                <w:w w:val="97"/>
              </w:rPr>
            </w:pPr>
            <w:hyperlink r:id="rId99">
              <w:r>
                <w:rPr>
                  <w:rFonts w:ascii="Times New Roman" w:cs="Times New Roman" w:eastAsia="Times New Roman" w:hAnsi="Times New Roman"/>
                  <w:sz w:val="18"/>
                  <w:szCs w:val="18"/>
                  <w:color w:val="0000EE"/>
                  <w:w w:val="97"/>
                </w:rPr>
                <w:t>Filing Fee Table</w:t>
              </w:r>
            </w:hyperlink>
          </w:p>
        </w:tc>
        <w:tc>
          <w:tcPr>
            <w:tcW w:w="1200" w:type="dxa"/>
            <w:vAlign w:val="bottom"/>
            <w:tcBorders>
              <w:top w:val="single" w:sz="8" w:color="0000EE"/>
            </w:tcBorders>
            <w:gridSpan w:val="5"/>
          </w:tcPr>
          <w:p>
            <w:pPr>
              <w:spacing w:after="0"/>
              <w:rPr>
                <w:sz w:val="15"/>
                <w:szCs w:val="15"/>
                <w:color w:val="auto"/>
              </w:rPr>
            </w:pPr>
          </w:p>
        </w:tc>
        <w:tc>
          <w:tcPr>
            <w:tcW w:w="7720" w:type="dxa"/>
            <w:vAlign w:val="bottom"/>
            <w:tcBorders>
              <w:top w:val="single" w:sz="8" w:color="CCEEFF"/>
            </w:tcBorders>
            <w:gridSpan w:val="6"/>
          </w:tcPr>
          <w:p>
            <w:pPr>
              <w:spacing w:after="0"/>
              <w:rPr>
                <w:sz w:val="15"/>
                <w:szCs w:val="15"/>
                <w:color w:val="auto"/>
              </w:rPr>
            </w:pPr>
          </w:p>
        </w:tc>
      </w:tr>
    </w:tbl>
    <w:p>
      <w:pPr>
        <w:spacing w:after="0" w:line="225" w:lineRule="exact"/>
        <w:rPr>
          <w:sz w:val="20"/>
          <w:szCs w:val="20"/>
          <w:color w:val="auto"/>
        </w:rPr>
      </w:pPr>
    </w:p>
    <w:p>
      <w:pPr>
        <w:ind w:right="9720" w:firstLine="8"/>
        <w:spacing w:after="0" w:line="261" w:lineRule="auto"/>
        <w:tabs>
          <w:tab w:leader="none" w:pos="32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 ** Previously filed.</w:t>
      </w:r>
    </w:p>
    <w:p>
      <w:pPr>
        <w:ind w:left="340" w:right="20" w:hanging="324"/>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Certain exhibits and schedules to this Exhibit have been omitted in accordance with Regulation S-K Item 601(a)(5). The Company agrees to furnish supplementally a copy of any omitted exhibit or schedule to the SEC upon its request; however, the Company may request confidential treatment of omitted items.</w:t>
      </w:r>
    </w:p>
    <w:p>
      <w:pPr>
        <w:spacing w:after="0" w:line="1" w:lineRule="exact"/>
        <w:rPr>
          <w:rFonts w:ascii="Times New Roman" w:cs="Times New Roman" w:eastAsia="Times New Roman" w:hAnsi="Times New Roman"/>
          <w:sz w:val="18"/>
          <w:szCs w:val="18"/>
          <w:color w:val="auto"/>
        </w:rPr>
      </w:pPr>
    </w:p>
    <w:p>
      <w:pPr>
        <w:ind w:left="340" w:hanging="324"/>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Certain confidential portions of this exhibit were omitted by means of marking such portions with brackets and asterisks because the identified confidential portions (i) are not material and (ii) would be competitively harmful if publicly disclosed, or constituted personally identifiable information that is not material.</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Item 10. Undertakings</w:t>
      </w:r>
    </w:p>
    <w:p>
      <w:pPr>
        <w:spacing w:after="0" w:line="229"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w:t>
      </w:r>
    </w:p>
    <w:p>
      <w:pPr>
        <w:spacing w:after="0" w:line="252" w:lineRule="exact"/>
        <w:rPr>
          <w:rFonts w:ascii="Times New Roman" w:cs="Times New Roman" w:eastAsia="Times New Roman" w:hAnsi="Times New Roman"/>
          <w:sz w:val="18"/>
          <w:szCs w:val="18"/>
          <w:color w:val="auto"/>
        </w:rPr>
      </w:pPr>
    </w:p>
    <w:p>
      <w:pPr>
        <w:ind w:left="740" w:hanging="354"/>
        <w:spacing w:after="0"/>
        <w:tabs>
          <w:tab w:leader="none" w:pos="74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279" w:lineRule="exact"/>
        <w:rPr>
          <w:rFonts w:ascii="Times New Roman" w:cs="Times New Roman" w:eastAsia="Times New Roman" w:hAnsi="Times New Roman"/>
          <w:sz w:val="18"/>
          <w:szCs w:val="18"/>
          <w:color w:val="auto"/>
        </w:rPr>
      </w:pPr>
    </w:p>
    <w:p>
      <w:pPr>
        <w:ind w:left="1060" w:hanging="350"/>
        <w:spacing w:after="0"/>
        <w:tabs>
          <w:tab w:leader="none" w:pos="1060" w:val="left"/>
        </w:tabs>
        <w:numPr>
          <w:ilvl w:val="2"/>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 of 1933;</w:t>
      </w:r>
    </w:p>
    <w:p>
      <w:pPr>
        <w:spacing w:after="0" w:line="279" w:lineRule="exact"/>
        <w:rPr>
          <w:rFonts w:ascii="Times New Roman" w:cs="Times New Roman" w:eastAsia="Times New Roman" w:hAnsi="Times New Roman"/>
          <w:sz w:val="18"/>
          <w:szCs w:val="18"/>
          <w:color w:val="auto"/>
        </w:rPr>
      </w:pPr>
    </w:p>
    <w:p>
      <w:pPr>
        <w:jc w:val="both"/>
        <w:ind w:left="1060" w:right="20" w:hanging="350"/>
        <w:spacing w:after="0" w:line="255" w:lineRule="auto"/>
        <w:tabs>
          <w:tab w:leader="none" w:pos="1060" w:val="left"/>
        </w:tabs>
        <w:numPr>
          <w:ilvl w:val="2"/>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change in the maximum aggregate offering price set forth in the “Calculation of Registration Fee” table in the effective registration statement; and</w:t>
      </w:r>
    </w:p>
    <w:p>
      <w:pPr>
        <w:spacing w:after="0" w:line="242" w:lineRule="exact"/>
        <w:rPr>
          <w:rFonts w:ascii="Times New Roman" w:cs="Times New Roman" w:eastAsia="Times New Roman" w:hAnsi="Times New Roman"/>
          <w:sz w:val="18"/>
          <w:szCs w:val="18"/>
          <w:color w:val="auto"/>
        </w:rPr>
      </w:pPr>
    </w:p>
    <w:p>
      <w:pPr>
        <w:ind w:left="1060" w:right="20" w:hanging="350"/>
        <w:spacing w:after="0" w:line="282" w:lineRule="auto"/>
        <w:tabs>
          <w:tab w:leader="none" w:pos="1060" w:val="left"/>
        </w:tabs>
        <w:numPr>
          <w:ilvl w:val="2"/>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87" w:lineRule="exact"/>
        <w:rPr>
          <w:sz w:val="20"/>
          <w:szCs w:val="20"/>
          <w:color w:val="auto"/>
        </w:rPr>
      </w:pPr>
    </w:p>
    <w:p>
      <w:pPr>
        <w:jc w:val="both"/>
        <w:ind w:left="980"/>
        <w:spacing w:after="0" w:line="258" w:lineRule="auto"/>
        <w:rPr>
          <w:sz w:val="20"/>
          <w:szCs w:val="20"/>
          <w:color w:val="auto"/>
        </w:rPr>
      </w:pP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paragraphs (a)(1)(i), (a)(1)(ii) and (a)(1)(iii) do not apply if the registration statement is on Form S-3 or From F-3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information required to be included in a post-effective amendment by those paragraphs is contained in reports filed with or furnished to the Commission by the registrant pursuant to Section 13 or Section 15(d) of the Securities Exchange Act of 1934 that are incorporated by reference in the registration statement, or is contained in a form of prospectus filed pursuant to Rule 424(b) that is part of the registration statement.</w:t>
      </w:r>
    </w:p>
    <w:p>
      <w:pPr>
        <w:spacing w:after="0" w:line="212" w:lineRule="exact"/>
        <w:rPr>
          <w:sz w:val="20"/>
          <w:szCs w:val="20"/>
          <w:color w:val="auto"/>
        </w:rPr>
      </w:pPr>
    </w:p>
    <w:p>
      <w:pPr>
        <w:jc w:val="both"/>
        <w:ind w:left="740" w:right="40" w:hanging="354"/>
        <w:spacing w:after="0" w:line="266" w:lineRule="auto"/>
        <w:tabs>
          <w:tab w:leader="none" w:pos="74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229" w:lineRule="exact"/>
        <w:rPr>
          <w:rFonts w:ascii="Times New Roman" w:cs="Times New Roman" w:eastAsia="Times New Roman" w:hAnsi="Times New Roman"/>
          <w:sz w:val="18"/>
          <w:szCs w:val="18"/>
          <w:color w:val="auto"/>
        </w:rPr>
      </w:pPr>
    </w:p>
    <w:p>
      <w:pPr>
        <w:ind w:left="740" w:right="20" w:hanging="354"/>
        <w:spacing w:after="0" w:line="282" w:lineRule="auto"/>
        <w:tabs>
          <w:tab w:leader="none" w:pos="74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215" w:lineRule="exact"/>
        <w:rPr>
          <w:rFonts w:ascii="Times New Roman" w:cs="Times New Roman" w:eastAsia="Times New Roman" w:hAnsi="Times New Roman"/>
          <w:sz w:val="18"/>
          <w:szCs w:val="18"/>
          <w:color w:val="auto"/>
        </w:rPr>
      </w:pPr>
    </w:p>
    <w:p>
      <w:pPr>
        <w:jc w:val="both"/>
        <w:ind w:left="740" w:right="20" w:hanging="354"/>
        <w:spacing w:after="0" w:line="254" w:lineRule="auto"/>
        <w:tabs>
          <w:tab w:leader="none" w:pos="74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a post-effective amendment to the registration statement to include any financial statements required by Item 8.A. of Form 20-F at the start of any delayed offering or throughout a continuous offering. Financial statements and information otherwise required by Section 10(a)(3) of the Securities Act need not be furnished, provided, that the Registrant includes in the prospectus, by means of a post-effective amendment, financial statements required pursuant to Section 10(a)(4) of the Securities Act of 1933 and other information necessary to ensure that all other information in the prospectus is at least as current as the date of those financial statements. Notwithstanding the foregoing, a post-effective amendment needs not be filed to include financial statements and information required by Section 10(a)(3) of the Securities Act or Item 8.A of Form 20-F if such financial statements and information are contained in periodic reports filed with or furnished to the Commission by the registrant pursuant to section 13 or section 15(d) of the Securities Exchange Act of 1934 that are incorporated by reference in the Form F-3.</w:t>
      </w:r>
    </w:p>
    <w:p>
      <w:pPr>
        <w:spacing w:after="0" w:line="21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under the Securities Act to any purchaser:</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2"/>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5" w:name="page36"/>
    <w:bookmarkEnd w:id="35"/>
    <w:p>
      <w:pPr>
        <w:jc w:val="both"/>
        <w:ind w:left="648" w:hanging="324"/>
        <w:spacing w:after="0" w:line="253" w:lineRule="auto"/>
        <w:tabs>
          <w:tab w:leader="none" w:pos="648" w:val="left"/>
        </w:tabs>
        <w:numPr>
          <w:ilvl w:val="2"/>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218" w:lineRule="exact"/>
        <w:rPr>
          <w:rFonts w:ascii="Times New Roman" w:cs="Times New Roman" w:eastAsia="Times New Roman" w:hAnsi="Times New Roman"/>
          <w:sz w:val="18"/>
          <w:szCs w:val="18"/>
          <w:color w:val="auto"/>
        </w:rPr>
      </w:pPr>
    </w:p>
    <w:p>
      <w:pPr>
        <w:jc w:val="both"/>
        <w:ind w:left="408" w:right="20" w:hanging="354"/>
        <w:spacing w:after="0" w:line="258" w:lineRule="auto"/>
        <w:tabs>
          <w:tab w:leader="none" w:pos="408"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237" w:lineRule="exact"/>
        <w:rPr>
          <w:rFonts w:ascii="Times New Roman" w:cs="Times New Roman" w:eastAsia="Times New Roman" w:hAnsi="Times New Roman"/>
          <w:sz w:val="18"/>
          <w:szCs w:val="18"/>
          <w:color w:val="auto"/>
        </w:rPr>
      </w:pPr>
    </w:p>
    <w:p>
      <w:pPr>
        <w:ind w:left="728" w:hanging="350"/>
        <w:spacing w:after="0"/>
        <w:tabs>
          <w:tab w:leader="none" w:pos="728" w:val="left"/>
        </w:tabs>
        <w:numPr>
          <w:ilvl w:val="2"/>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preliminary prospectus or prospectus of the undersigned registrant relating to the offering required to be filed pursuant to Rule 424;</w:t>
      </w:r>
    </w:p>
    <w:p>
      <w:pPr>
        <w:spacing w:after="0" w:line="279" w:lineRule="exact"/>
        <w:rPr>
          <w:rFonts w:ascii="Times New Roman" w:cs="Times New Roman" w:eastAsia="Times New Roman" w:hAnsi="Times New Roman"/>
          <w:sz w:val="18"/>
          <w:szCs w:val="18"/>
          <w:color w:val="auto"/>
        </w:rPr>
      </w:pPr>
    </w:p>
    <w:p>
      <w:pPr>
        <w:ind w:left="728" w:right="40" w:hanging="350"/>
        <w:spacing w:after="0" w:line="282" w:lineRule="auto"/>
        <w:tabs>
          <w:tab w:leader="none" w:pos="728" w:val="left"/>
        </w:tabs>
        <w:numPr>
          <w:ilvl w:val="3"/>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free writing prospectus relating to the offering prepared by or on behalf of the undersigned registrant or used or referred to by the undersigned registrant;</w:t>
      </w:r>
    </w:p>
    <w:p>
      <w:pPr>
        <w:spacing w:after="0" w:line="215" w:lineRule="exact"/>
        <w:rPr>
          <w:rFonts w:ascii="Times New Roman" w:cs="Times New Roman" w:eastAsia="Times New Roman" w:hAnsi="Times New Roman"/>
          <w:sz w:val="18"/>
          <w:szCs w:val="18"/>
          <w:color w:val="auto"/>
        </w:rPr>
      </w:pPr>
    </w:p>
    <w:p>
      <w:pPr>
        <w:ind w:left="728" w:right="20" w:hanging="350"/>
        <w:spacing w:after="0" w:line="282" w:lineRule="auto"/>
        <w:tabs>
          <w:tab w:leader="none" w:pos="728" w:val="left"/>
        </w:tabs>
        <w:numPr>
          <w:ilvl w:val="3"/>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215" w:lineRule="exact"/>
        <w:rPr>
          <w:rFonts w:ascii="Times New Roman" w:cs="Times New Roman" w:eastAsia="Times New Roman" w:hAnsi="Times New Roman"/>
          <w:sz w:val="18"/>
          <w:szCs w:val="18"/>
          <w:color w:val="auto"/>
        </w:rPr>
      </w:pPr>
    </w:p>
    <w:p>
      <w:pPr>
        <w:ind w:left="728" w:hanging="350"/>
        <w:spacing w:after="0"/>
        <w:tabs>
          <w:tab w:leader="none" w:pos="728" w:val="left"/>
        </w:tabs>
        <w:numPr>
          <w:ilvl w:val="3"/>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communication that is an offer in the offering made by the undersigned registrant to the purchaser.</w:t>
      </w:r>
    </w:p>
    <w:p>
      <w:pPr>
        <w:spacing w:after="0" w:line="252" w:lineRule="exact"/>
        <w:rPr>
          <w:rFonts w:ascii="Times New Roman" w:cs="Times New Roman" w:eastAsia="Times New Roman" w:hAnsi="Times New Roman"/>
          <w:sz w:val="18"/>
          <w:szCs w:val="18"/>
          <w:color w:val="auto"/>
        </w:rPr>
      </w:pPr>
    </w:p>
    <w:p>
      <w:pPr>
        <w:jc w:val="both"/>
        <w:ind w:left="328" w:hanging="328"/>
        <w:spacing w:after="0" w:line="261" w:lineRule="auto"/>
        <w:tabs>
          <w:tab w:leader="none" w:pos="32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that, for purposes of determining any liability under the Securities Act of 1933, each filing of the registrant's annual report pursuant to section 13(a) or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79" w:lineRule="exact"/>
        <w:rPr>
          <w:rFonts w:ascii="Times New Roman" w:cs="Times New Roman" w:eastAsia="Times New Roman" w:hAnsi="Times New Roman"/>
          <w:sz w:val="18"/>
          <w:szCs w:val="18"/>
          <w:color w:val="auto"/>
        </w:rPr>
      </w:pPr>
    </w:p>
    <w:p>
      <w:pPr>
        <w:jc w:val="both"/>
        <w:ind w:left="328" w:hanging="328"/>
        <w:spacing w:after="0" w:line="254" w:lineRule="auto"/>
        <w:tabs>
          <w:tab w:leader="none" w:pos="32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00" w:lineRule="exact"/>
        <w:rPr>
          <w:sz w:val="20"/>
          <w:szCs w:val="20"/>
          <w:color w:val="auto"/>
        </w:rPr>
      </w:pPr>
    </w:p>
    <w:p>
      <w:pPr>
        <w:spacing w:after="0" w:line="208"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904" w:right="339"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has duly caused this Post-Effective Amendment No. 1 to the registration statement to be signed on its behalf by the undersigned, thereunto duly authorized, in Singapore, June 5, 2026.</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GCL Global Holdings Ltd</w:t>
      </w:r>
    </w:p>
    <w:p>
      <w:pPr>
        <w:spacing w:after="0" w:line="229"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Sebastian Toke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03">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Sebastian Toke</w:t>
      </w:r>
    </w:p>
    <w:p>
      <w:pPr>
        <w:spacing w:after="0" w:line="36"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7"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below by the following persons on behalf of the registrant and in the capacities and on the dates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4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Title</w:t>
            </w:r>
          </w:p>
        </w:tc>
        <w:tc>
          <w:tcPr>
            <w:tcW w:w="100" w:type="dxa"/>
            <w:vAlign w:val="bottom"/>
          </w:tcPr>
          <w:p>
            <w:pPr>
              <w:spacing w:after="0"/>
              <w:rPr>
                <w:sz w:val="21"/>
                <w:szCs w:val="21"/>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439"/>
        </w:trPr>
        <w:tc>
          <w:tcPr>
            <w:tcW w:w="44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Sebastian Toke</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Chief Executive Officer and Director</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5, 2026</w:t>
            </w:r>
          </w:p>
        </w:tc>
      </w:tr>
      <w:tr>
        <w:trPr>
          <w:trHeight w:val="234"/>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Sebastian Toke</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680" w:type="dxa"/>
            <w:vAlign w:val="bottom"/>
          </w:tcPr>
          <w:p>
            <w:pPr>
              <w:spacing w:after="0"/>
              <w:rPr>
                <w:sz w:val="20"/>
                <w:szCs w:val="20"/>
                <w:color w:val="auto"/>
              </w:rPr>
            </w:pPr>
          </w:p>
        </w:tc>
      </w:tr>
      <w:tr>
        <w:trPr>
          <w:trHeight w:val="421"/>
        </w:trPr>
        <w:tc>
          <w:tcPr>
            <w:tcW w:w="44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Kenny Lin</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Chief Financial Officer</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5, 2026</w:t>
            </w:r>
          </w:p>
        </w:tc>
      </w:tr>
      <w:tr>
        <w:trPr>
          <w:trHeight w:val="234"/>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Kenny Lin</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(Principal Accounting and Financial Officer)</w:t>
            </w:r>
          </w:p>
        </w:tc>
        <w:tc>
          <w:tcPr>
            <w:tcW w:w="1680" w:type="dxa"/>
            <w:vAlign w:val="bottom"/>
          </w:tcPr>
          <w:p>
            <w:pPr>
              <w:spacing w:after="0"/>
              <w:rPr>
                <w:sz w:val="20"/>
                <w:szCs w:val="20"/>
                <w:color w:val="auto"/>
              </w:rPr>
            </w:pPr>
          </w:p>
        </w:tc>
      </w:tr>
      <w:tr>
        <w:trPr>
          <w:trHeight w:val="421"/>
        </w:trPr>
        <w:tc>
          <w:tcPr>
            <w:tcW w:w="44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Group Chairman</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5, 2026</w:t>
            </w:r>
          </w:p>
        </w:tc>
      </w:tr>
      <w:tr>
        <w:trPr>
          <w:trHeight w:val="234"/>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Choo See Wee</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421"/>
        </w:trPr>
        <w:tc>
          <w:tcPr>
            <w:tcW w:w="44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5, 2026</w:t>
            </w:r>
          </w:p>
        </w:tc>
      </w:tr>
      <w:tr>
        <w:trPr>
          <w:trHeight w:val="234"/>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Choo See Ling</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421"/>
        </w:trPr>
        <w:tc>
          <w:tcPr>
            <w:tcW w:w="44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Independent Director</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5, 2026</w:t>
            </w:r>
          </w:p>
        </w:tc>
      </w:tr>
      <w:tr>
        <w:trPr>
          <w:trHeight w:val="234"/>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Tse Meng Ng</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421"/>
        </w:trPr>
        <w:tc>
          <w:tcPr>
            <w:tcW w:w="44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Independent Director</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5, 2026</w:t>
            </w:r>
          </w:p>
        </w:tc>
      </w:tr>
      <w:tr>
        <w:trPr>
          <w:trHeight w:val="234"/>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Joshua Kewei Cui</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421"/>
        </w:trPr>
        <w:tc>
          <w:tcPr>
            <w:tcW w:w="44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Independent Director</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5, 2026</w:t>
            </w:r>
          </w:p>
        </w:tc>
      </w:tr>
      <w:tr>
        <w:trPr>
          <w:trHeight w:val="234"/>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Wilson W. Wang</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421"/>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/s/ Sebastian Toke</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234"/>
        </w:trPr>
        <w:tc>
          <w:tcPr>
            <w:tcW w:w="460" w:type="dxa"/>
            <w:vAlign w:val="bottom"/>
          </w:tcPr>
          <w:p>
            <w:pPr>
              <w:spacing w:after="0"/>
              <w:rPr>
                <w:sz w:val="20"/>
                <w:szCs w:val="20"/>
                <w:color w:val="auto"/>
              </w:rPr>
            </w:pPr>
          </w:p>
        </w:tc>
        <w:tc>
          <w:tcPr>
            <w:tcW w:w="39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Sebastian Toke</w:t>
            </w:r>
          </w:p>
        </w:tc>
        <w:tc>
          <w:tcPr>
            <w:tcW w:w="10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637"/>
        </w:trPr>
        <w:tc>
          <w:tcPr>
            <w:tcW w:w="46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gridSpan w:val="2"/>
          </w:tcPr>
          <w:p>
            <w:pPr>
              <w:ind w:left="960"/>
              <w:spacing w:after="0"/>
              <w:rPr>
                <w:sz w:val="20"/>
                <w:szCs w:val="20"/>
                <w:color w:val="auto"/>
              </w:rPr>
            </w:pPr>
            <w:r>
              <w:rPr>
                <w:rFonts w:ascii="Times New Roman" w:cs="Times New Roman" w:eastAsia="Times New Roman" w:hAnsi="Times New Roman"/>
                <w:sz w:val="18"/>
                <w:szCs w:val="18"/>
                <w:color w:val="auto"/>
              </w:rPr>
              <w:t>II-5</w:t>
            </w:r>
          </w:p>
        </w:tc>
        <w:tc>
          <w:tcPr>
            <w:tcW w:w="16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18"/>
          <w:szCs w:val="18"/>
          <w:b w:val="1"/>
          <w:bCs w:val="1"/>
          <w:color w:val="auto"/>
        </w:rPr>
        <w:t>SIGNATURE OF AUTHORIZED REPRESENTATIVE IN THE UNITED STATES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 of the Securities Act of 1933, the undersigned, solely in his capacity as the duly authorized representative of GCL Global Holdings Ltd, has signed this post-effective amendment no. 1 to the registration statement in the City of New York, New York, on June 5, 2026.</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COGENCY GLOBAL INC.</w:t>
      </w:r>
    </w:p>
    <w:p>
      <w:pPr>
        <w:spacing w:after="0" w:line="3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Authorized U.S. Representative</w:t>
      </w:r>
    </w:p>
    <w:p>
      <w:pPr>
        <w:spacing w:after="0" w:line="207" w:lineRule="exact"/>
        <w:rPr>
          <w:sz w:val="20"/>
          <w:szCs w:val="20"/>
          <w:color w:val="auto"/>
        </w:rPr>
      </w:pPr>
    </w:p>
    <w:tbl>
      <w:tblPr>
        <w:tblLayout w:type="fixed"/>
        <w:tblInd w:w="6760" w:type="dxa"/>
        <w:tblCellMar>
          <w:top w:w="0" w:type="dxa"/>
          <w:left w:w="0" w:type="dxa"/>
          <w:bottom w:w="0" w:type="dxa"/>
          <w:right w:w="0" w:type="dxa"/>
        </w:tblCellMar>
      </w:tblPr>
      <w:tr>
        <w:trPr>
          <w:trHeight w:val="241"/>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Colleen A. De Vries</w:t>
            </w:r>
          </w:p>
        </w:tc>
      </w:tr>
      <w:tr>
        <w:trPr>
          <w:trHeight w:val="198"/>
        </w:trPr>
        <w:tc>
          <w:tcPr>
            <w:tcW w:w="5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Colleen A. De Vries</w:t>
            </w:r>
          </w:p>
        </w:tc>
      </w:tr>
      <w:tr>
        <w:trPr>
          <w:trHeight w:val="21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Senior Vice-President on behalf of Cogency Global</w:t>
            </w:r>
          </w:p>
        </w:tc>
      </w:tr>
      <w:tr>
        <w:trPr>
          <w:trHeight w:val="234"/>
        </w:trPr>
        <w:tc>
          <w:tcPr>
            <w:tcW w:w="56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Inc.</w:t>
            </w: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22"/>
          <w:szCs w:val="22"/>
          <w:b w:val="1"/>
          <w:bCs w:val="1"/>
          <w:color w:val="auto"/>
        </w:rPr>
        <w:t>Exhibit 23.1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2593975</wp:posOffset>
            </wp:positionH>
            <wp:positionV relativeFrom="paragraph">
              <wp:posOffset>151130</wp:posOffset>
            </wp:positionV>
            <wp:extent cx="1962785" cy="3086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105">
                      <a:extLst>
                        <a:ext uri="{28A0092B-C50C-407E-A947-70E740481C1C}"/>
                      </a:extLst>
                    </a:blip>
                    <a:srcRect/>
                    <a:stretch>
                      <a:fillRect/>
                    </a:stretch>
                  </pic:blipFill>
                  <pic:spPr bwMode="auto">
                    <a:xfrm>
                      <a:off x="0" y="0"/>
                      <a:ext cx="1962785"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Independent Registered Public Accounting Firm’s Consent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consent to the incorporation by reference in this Registration Statement on Post-Effective Form F-1 on Form F-3 of our report dated July 31, 2025 relating to the consolidated financial statements appearing in the Annual Report on Amendment No. 1 to Form 20-F of GCL Global Holdings Limited for the year ended March 31, 2025. We also consent to the reference to us under the heading “Experts” in such Registration Statement.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Marcum Asia CPAs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5, 2026</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NEW YORK OFFICE ● 7 Penn Plaza ● Suite 830 ● New York, New York ● 10001</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Phone 646.442.4845 ● Fax 646.349.5200 ● www.marcumasia.com</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
      <w:numFmt w:val="bullet"/>
      <w:start w:val="1"/>
    </w:lvl>
  </w:abstractNum>
  <w:abstractNum w:abstractNumId="3">
    <w:nsid w:val="1190CDE7"/>
    <w:multiLevelType w:val="hybridMultilevel"/>
    <w:lvl w:ilvl="0">
      <w:lvlJc w:val="left"/>
      <w:lvlText w:val="●"/>
      <w:numFmt w:val="bullet"/>
      <w:start w:val="1"/>
    </w:lvl>
  </w:abstractNum>
  <w:abstractNum w:abstractNumId="4">
    <w:nsid w:val="66EF438D"/>
    <w:multiLevelType w:val="hybridMultilevel"/>
    <w:lvl w:ilvl="0">
      <w:lvlJc w:val="left"/>
      <w:lvlText w:val="●"/>
      <w:numFmt w:val="bullet"/>
      <w:start w:val="1"/>
    </w:lvl>
  </w:abstractNum>
  <w:abstractNum w:abstractNumId="5">
    <w:nsid w:val="140E0F76"/>
    <w:multiLevelType w:val="hybridMultilevel"/>
    <w:lvl w:ilvl="0">
      <w:lvlJc w:val="left"/>
      <w:lvlText w:val="●"/>
      <w:numFmt w:val="bullet"/>
      <w:start w:val="1"/>
    </w:lvl>
  </w:abstractNum>
  <w:abstractNum w:abstractNumId="6">
    <w:nsid w:val="3352255A"/>
    <w:multiLevelType w:val="hybridMultilevel"/>
    <w:lvl w:ilvl="0">
      <w:lvlJc w:val="left"/>
      <w:lvlText w:val="●"/>
      <w:numFmt w:val="bullet"/>
      <w:start w:val="1"/>
    </w:lvl>
  </w:abstractNum>
  <w:abstractNum w:abstractNumId="7">
    <w:nsid w:val="109CF92E"/>
    <w:multiLevelType w:val="hybridMultilevel"/>
    <w:lvl w:ilvl="0">
      <w:lvlJc w:val="left"/>
      <w:lvlText w:val="●"/>
      <w:numFmt w:val="bullet"/>
      <w:start w:val="1"/>
    </w:lvl>
  </w:abstractNum>
  <w:abstractNum w:abstractNumId="8">
    <w:nsid w:val="DED7263"/>
    <w:multiLevelType w:val="hybridMultilevel"/>
    <w:lvl w:ilvl="0">
      <w:lvlJc w:val="left"/>
      <w:lvlText w:val="(%1)"/>
      <w:numFmt w:val="decimal"/>
      <w:start w:val="1"/>
    </w:lvl>
  </w:abstractNum>
  <w:abstractNum w:abstractNumId="9">
    <w:nsid w:val="7FDCC233"/>
    <w:multiLevelType w:val="hybridMultilevel"/>
    <w:lvl w:ilvl="0">
      <w:lvlJc w:val="left"/>
      <w:lvlText w:val="●"/>
      <w:numFmt w:val="bullet"/>
      <w:start w:val="1"/>
    </w:lvl>
  </w:abstractNum>
  <w:abstractNum w:abstractNumId="10">
    <w:nsid w:val="1BEFD79F"/>
    <w:multiLevelType w:val="hybridMultilevel"/>
    <w:lvl w:ilvl="0">
      <w:lvlJc w:val="left"/>
      <w:lvlText w:val="*"/>
      <w:numFmt w:val="bullet"/>
      <w:start w:val="1"/>
    </w:lvl>
  </w:abstractNum>
  <w:abstractNum w:abstractNumId="11">
    <w:nsid w:val="41A7C4C9"/>
    <w:multiLevelType w:val="hybridMultilevel"/>
    <w:lvl w:ilvl="0">
      <w:lvlJc w:val="left"/>
      <w:lvlText w:val="●"/>
      <w:numFmt w:val="bullet"/>
      <w:start w:val="1"/>
    </w:lvl>
  </w:abstractNum>
  <w:abstractNum w:abstractNumId="12">
    <w:nsid w:val="6B68079A"/>
    <w:multiLevelType w:val="hybridMultilevel"/>
    <w:lvl w:ilvl="0">
      <w:lvlJc w:val="left"/>
      <w:lvlText w:val="*"/>
      <w:numFmt w:val="bullet"/>
      <w:start w:val="1"/>
    </w:lvl>
  </w:abstractNum>
  <w:abstractNum w:abstractNumId="13">
    <w:nsid w:val="4E6AFB66"/>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14">
    <w:nsid w:val="25E45D32"/>
    <w:multiLevelType w:val="hybridMultilevel"/>
    <w:lvl w:ilvl="0">
      <w:lvlJc w:val="left"/>
      <w:lvlText w:val="%1"/>
      <w:numFmt w:val="decimal"/>
      <w:start w:val="1"/>
    </w:lvl>
    <w:lvl w:ilvl="1">
      <w:lvlJc w:val="left"/>
      <w:lvlText w:val="(%2)"/>
      <w:numFmt w:val="decimal"/>
      <w:start w:val="2"/>
    </w:lvl>
    <w:lvl w:ilvl="2">
      <w:lvlJc w:val="left"/>
      <w:lvlText w:val="%3"/>
      <w:numFmt w:val="lowerRoman"/>
      <w:start w:val="1"/>
    </w:lvl>
  </w:abstractNum>
  <w:abstractNum w:abstractNumId="15">
    <w:nsid w:val="519B500D"/>
    <w:multiLevelType w:val="hybridMultilevel"/>
    <w:lvl w:ilvl="0">
      <w:lvlJc w:val="left"/>
      <w:lvlText w:val="(%1)"/>
      <w:numFmt w:val="decimal"/>
      <w:start w:val="5"/>
    </w:lvl>
    <w:lvl w:ilvl="1">
      <w:lvlJc w:val="left"/>
      <w:lvlText w:val="%2"/>
      <w:numFmt w:val="decimal"/>
      <w:start w:val="1"/>
    </w:lvl>
    <w:lvl w:ilvl="2">
      <w:lvlJc w:val="left"/>
      <w:lvlText w:val="(%3)"/>
      <w:numFmt w:val="lowerRoman"/>
      <w:start w:val="1"/>
    </w:lvl>
  </w:abstractNum>
  <w:abstractNum w:abstractNumId="16">
    <w:nsid w:val="431BD7B7"/>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2"/>
    </w:lvl>
    <w:lvl w:ilvl="3">
      <w:lvlJc w:val="left"/>
      <w:lvlText w:val="%4"/>
      <w:numFmt w:val="lowerRoman"/>
      <w:start w:val="1"/>
    </w:lvl>
  </w:abstractNum>
  <w:abstractNum w:abstractNumId="17">
    <w:nsid w:val="3F2DBA31"/>
    <w:multiLevelType w:val="hybridMultilevel"/>
    <w:lvl w:ilvl="0">
      <w:lvlJc w:val="left"/>
      <w:lvlText w:val="%1"/>
      <w:numFmt w:val="lowerLetter"/>
      <w:start w:val="1"/>
    </w:lvl>
    <w:lvl w:ilvl="1">
      <w:lvlJc w:val="left"/>
      <w:lvlText w:val="(%2)"/>
      <w:numFmt w:val="decimal"/>
      <w:start w:val="6"/>
    </w:lvl>
    <w:lvl w:ilvl="2">
      <w:lvlJc w:val="left"/>
      <w:lvlText w:val="(%3)"/>
      <w:numFmt w:val="lowerRoman"/>
      <w:start w:val="1"/>
    </w:lvl>
    <w:lvl w:ilvl="3">
      <w:lvlJc w:val="left"/>
      <w:lvlText w:val="(%4)"/>
      <w:numFmt w:val="lowerRoman"/>
      <w:start w:val="2"/>
    </w:lvl>
  </w:abstractNum>
  <w:abstractNum w:abstractNumId="18">
    <w:nsid w:val="7C83E458"/>
    <w:multiLevelType w:val="hybridMultilevel"/>
    <w:lvl w:ilvl="0">
      <w:lvlJc w:val="left"/>
      <w:lvlText w:val="(%1)"/>
      <w:numFmt w:val="lowerLetter"/>
      <w:start w:val="2"/>
    </w:lvl>
    <w:lvl w:ilvl="1">
      <w:lvlJc w:val="left"/>
      <w:lvlText w:val="%2"/>
      <w:numFmt w:val="decimal"/>
      <w:start w:val="1"/>
    </w:lvl>
    <w:lvl w:ilvl="2">
      <w:lvlJc w:val="left"/>
      <w:lvlText w:val="%3"/>
      <w:numFmt w:val="lowerRoman"/>
      <w:start w:val="1"/>
    </w:lvl>
    <w:lvl w:ilvl="3">
      <w:lvlJc w:val="left"/>
      <w:lvlText w:val="%4"/>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71" Type="http://schemas.openxmlformats.org/officeDocument/2006/relationships/image" Target="media/image39.png"/><Relationship Id="rId90" Type="http://schemas.openxmlformats.org/officeDocument/2006/relationships/image" Target="media/image40.png"/><Relationship Id="rId100" Type="http://schemas.openxmlformats.org/officeDocument/2006/relationships/image" Target="media/image41.png"/><Relationship Id="rId101" Type="http://schemas.openxmlformats.org/officeDocument/2006/relationships/image" Target="media/image42.png"/><Relationship Id="rId102" Type="http://schemas.openxmlformats.org/officeDocument/2006/relationships/image" Target="media/image43.png"/><Relationship Id="rId103" Type="http://schemas.openxmlformats.org/officeDocument/2006/relationships/image" Target="media/image44.png"/><Relationship Id="rId104" Type="http://schemas.openxmlformats.org/officeDocument/2006/relationships/image" Target="media/image45.png"/><Relationship Id="rId105" Type="http://schemas.openxmlformats.org/officeDocument/2006/relationships/image" Target="media/image46.jpeg"/><Relationship Id="rId46" Type="http://schemas.openxmlformats.org/officeDocument/2006/relationships/hyperlink" Target="http://www.sec.gov/ix?doc=/Archives/edgar/data/2002045/000121390025069672/ea0246480-20f_gclglobal.htm" TargetMode="External"/><Relationship Id="rId47" Type="http://schemas.openxmlformats.org/officeDocument/2006/relationships/hyperlink" Target="http://www.sec.gov/ix?doc=/Archives/edgar/data/2002045/000121390026041993/ea0277205-20fa1_gclglob.htm" TargetMode="External"/><Relationship Id="rId48" Type="http://schemas.openxmlformats.org/officeDocument/2006/relationships/hyperlink" Target="http://www.sec.gov/ix?doc=/Archives/edgar/data/2002045/000121390026051630/ea0288654-20fa2_gclglob.htm" TargetMode="External"/><Relationship Id="rId49" Type="http://schemas.openxmlformats.org/officeDocument/2006/relationships/hyperlink" Target="http://www.sec.gov/Archives/edgar/data/2002045/000121390025080124/ea0254434-6k_gclglobal.htm" TargetMode="External"/><Relationship Id="rId50" Type="http://schemas.openxmlformats.org/officeDocument/2006/relationships/hyperlink" Target="http://www.sec.gov/ix?doc=/Archives/edgar/data/2002045/000121390025081124/ea0254747-6k_gclglobal.htm" TargetMode="External"/><Relationship Id="rId51" Type="http://schemas.openxmlformats.org/officeDocument/2006/relationships/hyperlink" Target="http://www.sec.gov/Archives/edgar/data/2002045/000121390025082042/ea0255000-6k_gclglobal.htm" TargetMode="External"/><Relationship Id="rId52" Type="http://schemas.openxmlformats.org/officeDocument/2006/relationships/hyperlink" Target="http://www.sec.gov/Archives/edgar/data/2002045/000121390025085159/ea0256240-6k_gclglobal.htm" TargetMode="External"/><Relationship Id="rId53" Type="http://schemas.openxmlformats.org/officeDocument/2006/relationships/hyperlink" Target="http://www.sec.gov/Archives/edgar/data/2002045/000121390025086276/ea0256568-6k_gclglobal.htm" TargetMode="External"/><Relationship Id="rId54" Type="http://schemas.openxmlformats.org/officeDocument/2006/relationships/hyperlink" Target="http://www.sec.gov/Archives/edgar/data/2002045/000121390025086685/ea0256965-6k_gclglobal.htm" TargetMode="External"/><Relationship Id="rId55" Type="http://schemas.openxmlformats.org/officeDocument/2006/relationships/hyperlink" Target="http://www.sec.gov/Archives/edgar/data/2002045/000121390025087392/ea0257293-6k_gclglobal.htm" TargetMode="External"/><Relationship Id="rId56" Type="http://schemas.openxmlformats.org/officeDocument/2006/relationships/hyperlink" Target="http://www.sec.gov/Archives/edgar/data/2002045/000121390025098118/ea0260917-6k_gclglobal.htm" TargetMode="External"/><Relationship Id="rId57" Type="http://schemas.openxmlformats.org/officeDocument/2006/relationships/hyperlink" Target="http://www.sec.gov/Archives/edgar/data/2002045/000121390025099537/ea0261511-6k_gclglobal.htm" TargetMode="External"/><Relationship Id="rId58" Type="http://schemas.openxmlformats.org/officeDocument/2006/relationships/hyperlink" Target="http://www.sec.gov/Archives/edgar/data/2002045/000121390025114439/ea0267129-6k_gclglobal.htm" TargetMode="External"/><Relationship Id="rId59" Type="http://schemas.openxmlformats.org/officeDocument/2006/relationships/hyperlink" Target="http://www.sec.gov/Archives/edgar/data/2002045/000121390025117237/ea0268118-6k_gcl.htm" TargetMode="External"/><Relationship Id="rId60" Type="http://schemas.openxmlformats.org/officeDocument/2006/relationships/hyperlink" Target="http://www.sec.gov/Archives/edgar/data/2002045/000121390025118045/ea0268389-6k_gcl.htm" TargetMode="External"/><Relationship Id="rId61" Type="http://schemas.openxmlformats.org/officeDocument/2006/relationships/hyperlink" Target="http://www.sec.gov/ix?doc=/Archives/edgar/data/2002045/000121390026009911/ea0271723-6k_gcl.htm" TargetMode="External"/><Relationship Id="rId62" Type="http://schemas.openxmlformats.org/officeDocument/2006/relationships/hyperlink" Target="http://www.sec.gov/Archives/edgar/data/2002045/000121390026032630/ea0282778-6k_gclglobal.htm" TargetMode="External"/><Relationship Id="rId63" Type="http://schemas.openxmlformats.org/officeDocument/2006/relationships/hyperlink" Target="http://www.sec.gov/Archives/edgar/data/2002045/000121390026034371/ea0283525-6k_gclglobal.htm" TargetMode="External"/><Relationship Id="rId64" Type="http://schemas.openxmlformats.org/officeDocument/2006/relationships/hyperlink" Target="http://www.sec.gov/Archives/edgar/data/2002045/000121390026036405/ea0283829-6k_gclglobal.htm" TargetMode="External"/><Relationship Id="rId65" Type="http://schemas.openxmlformats.org/officeDocument/2006/relationships/hyperlink" Target="http://www.sec.gov/Archives/edgar/data/2002045/000121390026036885/ea0284228-6k_gclglobal.htm" TargetMode="External"/><Relationship Id="rId66" Type="http://schemas.openxmlformats.org/officeDocument/2006/relationships/hyperlink" Target="https://www.sec.gov/Archives/edgar/data/2002045/000121390026043238/ea0286221-6k_gcl.htm" TargetMode="External"/><Relationship Id="rId67" Type="http://schemas.openxmlformats.org/officeDocument/2006/relationships/hyperlink" Target="https://www.sec.gov/Archives/edgar/data/2002045/000121390026048866/ea0287551-6k_gcl.htm" TargetMode="External"/><Relationship Id="rId68" Type="http://schemas.openxmlformats.org/officeDocument/2006/relationships/hyperlink" Target="http://www.sec.gov/Archives/edgar/data/2002045/000121390026059012/ea0291544-6k_gcl.htm" TargetMode="External"/><Relationship Id="rId69" Type="http://schemas.openxmlformats.org/officeDocument/2006/relationships/hyperlink" Target="http://www.sec.gov/Archives/edgar/data/2002045/000121390026060793/ea0292116-6k_gcl.htm" TargetMode="External"/><Relationship Id="rId70" Type="http://schemas.openxmlformats.org/officeDocument/2006/relationships/hyperlink" Target="http://www.sec.gov/Archives/edgar/data/2002045/000110465925012646/tm256412d1_8a12b.htm" TargetMode="External"/><Relationship Id="rId72" Type="http://schemas.openxmlformats.org/officeDocument/2006/relationships/hyperlink" Target="https://www.sec.gov/Archives/edgar/data/2002045/000121390025017448/ea023214801ex1-1_gclglobal.htm" TargetMode="External"/><Relationship Id="rId73" Type="http://schemas.openxmlformats.org/officeDocument/2006/relationships/hyperlink" Target="https://www.sec.gov/Archives/edgar/data/2002045/000121390025046606/ea024287701ex4-1_gclglobal.htm" TargetMode="External"/><Relationship Id="rId74" Type="http://schemas.openxmlformats.org/officeDocument/2006/relationships/hyperlink" Target="https://www.sec.gov/Archives/edgar/data/2002045/000121390025062056/ea024724601ex4-1_gclglobal.htm" TargetMode="External"/><Relationship Id="rId75" Type="http://schemas.openxmlformats.org/officeDocument/2006/relationships/hyperlink" Target="http://www.sec.gov/Archives/edgar/data/2002045/000121390025068452/ea025058001ex4-1_gclglobal.htm" TargetMode="External"/><Relationship Id="rId76" Type="http://schemas.openxmlformats.org/officeDocument/2006/relationships/hyperlink" Target="https://www.sec.gov/Archives/edgar/data/2002045/000121390026048866/ea028755101ex4-1.htm" TargetMode="External"/><Relationship Id="rId77" Type="http://schemas.openxmlformats.org/officeDocument/2006/relationships/hyperlink" Target="https://www.sec.gov/Archives/edgar/data/2002045/000121390025084489/ea025575301ex5-1_gclglobal.htm" TargetMode="External"/><Relationship Id="rId78" Type="http://schemas.openxmlformats.org/officeDocument/2006/relationships/hyperlink" Target="https://www.sec.gov/Archives/edgar/data/2002045/000121390025017448/ea023214801ex10-1_gclglobal.htm" TargetMode="External"/><Relationship Id="rId79" Type="http://schemas.openxmlformats.org/officeDocument/2006/relationships/hyperlink" Target="https://www.sec.gov/Archives/edgar/data/2002045/000121390025017448/ea023214801ex10-2_gclglobal.htm" TargetMode="External"/><Relationship Id="rId80" Type="http://schemas.openxmlformats.org/officeDocument/2006/relationships/hyperlink" Target="https://www.sec.gov/Archives/edgar/data/2002045/000121390025017448/ea023214801ex10-3_gclglobal.htm" TargetMode="External"/><Relationship Id="rId81" Type="http://schemas.openxmlformats.org/officeDocument/2006/relationships/hyperlink" Target="https://www.sec.gov/Archives/edgar/data/2002045/000121390025017448/ea023214801ex10-4_gclglobal.htm" TargetMode="External"/><Relationship Id="rId82" Type="http://schemas.openxmlformats.org/officeDocument/2006/relationships/hyperlink" Target="https://www.sec.gov/Archives/edgar/data/1847607/000110465924109871/tm2425993d1_ex10-1.htm" TargetMode="External"/><Relationship Id="rId83" Type="http://schemas.openxmlformats.org/officeDocument/2006/relationships/hyperlink" Target="http://www.sec.gov/Archives/edgar/data/1847607/000110465925009455/tm255401d1_ex10-1.htm" TargetMode="External"/><Relationship Id="rId84" Type="http://schemas.openxmlformats.org/officeDocument/2006/relationships/hyperlink" Target="https://www.sec.gov/Archives/edgar/data/2002045/000110465924130239/tm2332564d21_ex10-24.htm" TargetMode="External"/><Relationship Id="rId85" Type="http://schemas.openxmlformats.org/officeDocument/2006/relationships/hyperlink" Target="http://www.sec.gov/Archives/edgar/data/2002045/000121390025069672/ea0246480ex10-6i_gclglobal.htm" TargetMode="External"/><Relationship Id="rId86" Type="http://schemas.openxmlformats.org/officeDocument/2006/relationships/hyperlink" Target="https://www.sec.gov/Archives/edgar/data/2002045/000121390026009911/ea027172301ex99-4_gcl.htm" TargetMode="External"/><Relationship Id="rId87" Type="http://schemas.openxmlformats.org/officeDocument/2006/relationships/hyperlink" Target="https://www.sec.gov/Archives/edgar/data/2002045/000121390025069672/ea024648001ex10-7_gclglobal.htm" TargetMode="External"/><Relationship Id="rId88" Type="http://schemas.openxmlformats.org/officeDocument/2006/relationships/hyperlink" Target="https://www.sec.gov/Archives/edgar/data/2002045/000121390026048866/ea028755101ex10-1.htm" TargetMode="External"/><Relationship Id="rId89" Type="http://schemas.openxmlformats.org/officeDocument/2006/relationships/hyperlink" Target="https://www.sec.gov/Archives/edgar/data/2002045/000121390025069672/ea024648001ex10-8_gclglobal.htm" TargetMode="External"/><Relationship Id="rId91" Type="http://schemas.openxmlformats.org/officeDocument/2006/relationships/hyperlink" Target="https://www.sec.gov/Archives/edgar/data/2002045/000110465924076178/tm2332564d5_ex10-5.htm" TargetMode="External"/><Relationship Id="rId92" Type="http://schemas.openxmlformats.org/officeDocument/2006/relationships/hyperlink" Target="https://www.sec.gov/Archives/edgar/data/2002045/000110465924076178/tm2332564d5_ex10-6.htm" TargetMode="External"/><Relationship Id="rId93" Type="http://schemas.openxmlformats.org/officeDocument/2006/relationships/hyperlink" Target="https://www.sec.gov/Archives/edgar/data/2002045/000110465924076178/tm2332564d5_ex10-7.htm" TargetMode="External"/><Relationship Id="rId94" Type="http://schemas.openxmlformats.org/officeDocument/2006/relationships/hyperlink" Target="https://www.sec.gov/Archives/edgar/data/2002045/000121390025069672/ea024648001ex10-12_gclglobal.htm" TargetMode="External"/><Relationship Id="rId95" Type="http://schemas.openxmlformats.org/officeDocument/2006/relationships/hyperlink" Target="https://www.sec.gov/Archives/edgar/data/2002045/000121390025069672/ea024648001ex10-13_gclglobal.htm" TargetMode="External"/><Relationship Id="rId96" Type="http://schemas.openxmlformats.org/officeDocument/2006/relationships/hyperlink" Target="https://www.sec.gov/Archives/edgar/data/2002045/000121390025017448/ea023214801ex10-6_gclglobal.htm" TargetMode="External"/><Relationship Id="rId97" Type="http://schemas.openxmlformats.org/officeDocument/2006/relationships/hyperlink" Target="https://www.sec.gov/Archives/edgar/data/2002045/000121390025038431/ea023966401ex4-2_gclglobal.htm" TargetMode="External"/><Relationship Id="rId98" Type="http://schemas.openxmlformats.org/officeDocument/2006/relationships/hyperlink" Target="https://www.sec.gov/Archives/edgar/data/2002045/000121390025069672/ea024648001ex21_gclglobal.htm" TargetMode="External"/><Relationship Id="rId99" Type="http://schemas.openxmlformats.org/officeDocument/2006/relationships/hyperlink" Target="https://www.sec.gov/Archives/edgar/data/2002045/000121390025084489/ea025575301ex-fee_gclglobal.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2026-06-05T15:06:13Z</dcterms:created>
  <dcterms:modified xsi:type="dcterms:W3CDTF">2026-06-05T15:06:13Z</dcterms:modified>
</cp:coreProperties>
</file>