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val="false"/>
          <w:i w:val="false"/>
          <w:caps w:val="false"/>
          <w:smallCaps w:val="false"/>
          <w:sz w:val="20"/>
        </w:rPr>
      </w:pPr>
      <w:bookmarkStart w:id="0" w:name="ea0289392-posam1_gclglob.htm"/>
      <w:bookmarkStart w:id="1" w:name="ksea0289392posam1_gclglob"/>
      <w:bookmarkEnd w:id="0"/>
      <w:bookmarkEnd w:id="1"/>
      <w:r>
        <w:rPr>
          <w:rFonts w:ascii="Times New Roman;Times;Serif" w:hAnsi="Times New Roman;Times;Serif"/>
          <w:b/>
          <w:i w:val="false"/>
          <w:caps w:val="false"/>
          <w:smallCaps w:val="false"/>
          <w:sz w:val="20"/>
          <w:shd w:fill="FFFFFF" w:val="clear"/>
        </w:rPr>
        <w:t>As filed with the U.S. Securities and Exchange Commission on May 13,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Statement No. 333-286361</w:t>
      </w:r>
      <w:r>
        <w:rPr>
          <w:rFonts w:ascii="Times New Roman;Times;Serif" w:hAnsi="Times New Roman;Times;Serif"/>
          <w:b w:val="false"/>
          <w:i w:val="false"/>
          <w:caps w:val="false"/>
          <w:smallCaps w:val="false"/>
          <w:sz w:val="20"/>
        </w:rPr>
        <w:t xml:space="preserve">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POST-EFFECTIVE AMENDMENT NO. 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 THE SECURITIES ACT OF 1933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GCL GLOBAL HOLDINGS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28" w:type="dxa"/>
          <w:right w:w="0" w:type="dxa"/>
        </w:tblCellMar>
      </w:tblPr>
      <w:tblGrid>
        <w:gridCol w:w="2495"/>
        <w:gridCol w:w="60"/>
        <w:gridCol w:w="2375"/>
        <w:gridCol w:w="60"/>
        <w:gridCol w:w="1535"/>
      </w:tblGrid>
      <w:tr>
        <w:trPr/>
        <w:tc>
          <w:tcPr>
            <w:tcW w:w="249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37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7372</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375" w:type="dxa"/>
            <w:tcBorders/>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 xml:space="preserve">(Primary Standard Industrial </w:t>
              <w:br/>
              <w:t>Classification Code 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Tai Seng Avenue #02-01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Cool Lifestyle Hub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534119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80427330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(800) 221-0102</w:t>
        <w:br/>
      </w: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of communications to:</w:t>
      </w:r>
    </w:p>
    <w:p>
      <w:pPr>
        <w:pStyle w:val="TextBody"/>
        <w:bidi w:val="0"/>
        <w:spacing w:before="0" w:after="0"/>
        <w:ind w:left="0" w:right="0" w:hanging="0"/>
        <w:jc w:val="center"/>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345"/>
      </w:tblGrid>
      <w:tr>
        <w:trPr/>
        <w:tc>
          <w:tcPr>
            <w:tcW w:w="234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Jane K. P. Tam</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Loeb &amp; Loeb LLP</w:t>
            </w:r>
            <w:r>
              <w:rPr>
                <w:rFonts w:ascii="Times New Roman;Times;Serif" w:hAnsi="Times New Roman;Times;Serif"/>
                <w:b w:val="false"/>
                <w:i w:val="false"/>
                <w:caps w:val="false"/>
                <w:smallCaps w:val="false"/>
                <w:sz w:val="20"/>
              </w:rPr>
              <w:t xml:space="preserve">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901 New York Avenue NW</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20001</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618-5000</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this Registration Statement is declared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firstLine="360"/>
        <w:jc w:val="right"/>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EXPLANATORY NOTE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 2025, GCL Global Holdings Ltd (the “Registrant”), filed a Registration Statement on Form F-1 (Registration No. 333-286361), which was subsequently declared effective by the Securities and Exchange Commission (the “SEC”) on April 7, 2025 (the “Registration Statement”). This Post-Effective Amendment No. 1 to the Registration Statement is being filed by the Registrant to (i) convert the Registration Statement into a registration statement on Form F-3 (the “Post-Effective Amendment”) and (ii) update certain information regarding the securities being offered pursuant to the prospectus contained herein. The information included in this filing amends the Registration Statement and the prospectus contained therein.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additional securities are being registered under this Post-Effective Amendment. All applicable registration fees were paid at the time of the original filing of the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issued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FF0000"/>
          <w:sz w:val="20"/>
        </w:rPr>
        <w:t>SUBJECT TO COMPLETION, DATED MAY 13,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83,456,793 ORDINARY SHARES</w:t>
        <w:br/>
        <w:t>UP TO 16,500,000 ORDINARY SHARES UNDERLYING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among other things, the issuance from time to time of up to 16,500,000 Ordinary Shares (as defined below) of GCL Global Holdings Ltd, a Cayman Islands exempted company (the “Company,” “PubCo,” or “we”), which consist of (i) up to 11,500,000 Ordinary Shares issuable upon the exercise of 11,500,000 Warrants (as defined below), which were originally included in the units sold at a price of $10.00 per unit in the initial public offering of RFAC (as defined below), with each Warrant exercisable for Ordinary Share at $11.50 per share, and (ii) up to 5,000,000 Ordinary Shares issuable upon the exercise of 5,000,000 Warrants, which were originally issued concurrently with the initial public offering of RFAC in a private placement to the Sponsor (as defined below) and EBC (as defined below) at a price of $1.00 per warrant, with each Warrant exercisable for one Ordinary Share at $11.50 per share.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resale from time to time by the selling shareholders named in this prospectus or their permitted transferees (together, the “Selling Shareholders”) of (a) up to 83,456,793 Ordinary Shares, which consist of (i) 80,581,793 Ordinary Shares issued to Epicsoft Ventures (as defined below) in connection with the Business Combination (as defined below) at an implied purchase price of $10.00 per share; and (ii) 2,875,000 Ordinary Shares issued to the Sponsor, which were originally purchased by the Sponsor at approximately $0.009 per share; (b) 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 (c) up to 549,500 Ordinary Shares issuable upon the exercise of 549,500 Warrants, which were originally issued concurrently with the initial public offering of RFAC in a private placement to EBC at a price of $1.00 per warrant, with each Warrant exercisable for one Ordinary Share at $11.50 per share. See “</w:t>
      </w:r>
      <w:r>
        <w:rPr>
          <w:rFonts w:ascii="Times New Roman;Times;Serif" w:hAnsi="Times New Roman;Times;Serif"/>
          <w:b w:val="false"/>
          <w:i/>
          <w:caps w:val="false"/>
          <w:smallCaps w:val="false"/>
          <w:sz w:val="20"/>
        </w:rPr>
        <w:t>Selling Shareholders</w:t>
      </w:r>
      <w:r>
        <w:rPr>
          <w:rFonts w:ascii="Times New Roman;Times;Serif" w:hAnsi="Times New Roman;Times;Serif"/>
          <w:b w:val="false"/>
          <w:i w:val="false"/>
          <w:caps w:val="false"/>
          <w:smallCaps w:val="false"/>
          <w:sz w:val="20"/>
        </w:rPr>
        <w:t>” for the details of these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expiration of a lock-up period which is twelve months after the closing of the Business Combination, and for so long as the effective registration statement of which this prospectus forms a part is available for use, Epicsoft Ventures and Sponsor, collectively the beneficial owners of 83,456,793 Ordinary Shares, constituting approximately 65.2% of our outstanding Ordinary Shares as of the date of this prospectus, can sell under this prospectus (assuming all Warrants are exercised in full), up to 87,907,293 Ordinary Shares constituting approximately 68.7% of the issued and outstanding Ordinary Shares as of the date of this prospectus. Given the substantial number of Ordinary Shares being registered for potential resale by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prices at which certain Selling Shareholders acquired the securities that they may sell pursuant to this prospectus may be lower than that of our public shareholders, certain Selling Shareholders may experience a positive rate of return on the securities that they sell pursuant to this prospectus and be incentivized to sell such shares, when our public shareholders may not experience a similar rate of return. Certain securities being registered for sale pursuant to this prospectus were purchased by certain Selling Shareholders at prices below the current market price of our Ordinary Shares. Based on the closing price of our Ordinary Shares of $0.47 as of May 12, 2026, the Sponsor (with respect to the Sponsor Founder shares (as defined below)) may experience potential profit of up to $0.461 per share, or an aggregate amount of profit of up to approximately $1.3 million. Accordingly, such Selling Shareholders may have an incentive to sell their securities even if the trading price is lower than the price at which our public shareholders purchased their securities. In connection with the initial public offering of RFAC, RFAC’s initial public shareholders acquired RFAC Public Units (as defined below) at a price of $10.00 per unit, each of which comprises one share of RFAC Common Stock, one RFAC Warrant and one RFAC Right, and trading price of our Ordinary Shares have fluctuated, and will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 See “</w:t>
      </w:r>
      <w:r>
        <w:rPr>
          <w:rFonts w:ascii="Times New Roman;Times;Serif" w:hAnsi="Times New Roman;Times;Serif"/>
          <w:b w:val="false"/>
          <w:i/>
          <w:caps w:val="false"/>
          <w:smallCaps w:val="false"/>
          <w:sz w:val="20"/>
        </w:rPr>
        <w:t>Risk Factors - Sales of a substantial number of our securities in the public market by our existing shareholders could cause the price of our Ordinary Shares and Warrants to fall, and certain Selling Shareholders can earn a positive rate of return on their investment, even if other shareholders experience a negative rate of return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either we or the Selling Shareholders will issue, offer or sell, as applicable, any of the securities. The Selling Shareholders may offer, sell or distribute all or part of the securities registered hereby for resale from time to time through public or private transactions at either prevailing market prices or at privately negotiated prices. The securities are being registered to permit the Selling Shareholders to sell the securities from time to time, in amounts, at prices and on terms determined at the time the Selling Shareholders offer and sell the securities covered by this prospectus. The Selling Shareholders may offer and sell the securities covered by this prospectus through ordinary brokerage transactions, directly to market makers of our securities or through any other means described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herein. In connection with any sales of the securities offered hereunder, the Selling Shareholders, any underwriters, agents, brokers or dealers participating in such sales may be deemed to be “underwriters” within the meaning of the Securities Act of 1933, as amended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certain fees in connection with the registration of the securities and will not receive proceeds from the sale of the securities by the Selling Shareholders, as described in more detail in the section titled “Use of Proceeds” appearing elsewhere in this prospectus, except with respect to amounts received by the Company upon exercise of the Warrants to the extent such Warrants are exercised for cash. The exercise price of our Warrants is $11.50 for one Ordinary Share. The likelihood that Warrant holders will exercise their Warrants, and therefore the amount of cash proceeds that we would receive, is dependent upon the trading price of our Ordinary Shares. If the trading price for our Ordinary Shares is less than $11.50 per share, we believe holders of our Warrants will be unlikely to exercise their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12, 2026, the closing price of our Ordinary Shares and Warrants was $0.47 and $0.025, respectively. Because the trading price of our ordinary shares is currently below the exercise price, we believe that holders of the Warrants are currently unlikely to exercise their Warrants.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Ordinary Shares issued and outstanding as of the date of this prospectus are 130,135,432 and 128,008,703 Ordinary Shares. Each Ordinary Share is entitled to one vote. As of the date of this prospectus, Jacky Choo See Wee, our chairman of the board of directors, is able to exercise voting rights with respect to over 50% of the voting power of our issued and outstanding shares through his beneficial ownership of 80,581,793 Ordinary Shares. We are a “controlled company” as defined under the Corporate Governance Rules of Nasdaq. For so long as we remain a controlled company under this definition, we are permitted to elect to rely, and currently rely, on certain exemptions from corporate governance rules, including the exemption from the rule that a majority of our board of directors must be independent directors. For details, see “Item 3. Key Information—D. Risk Factors—Risks Related to GCL Operating as a Public Company—As a “controlled company” under the Nasdaq rules, GCL may choose to exempt itself from certain corporate governance requirements that could have an adverse effect on our public shareholders” in our most recent annual report on Form 20-F, as amended, incorporated herein by reference.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the Jumpstart Our Business Startups Act of 2012 and have elected to comply with certain reduced public company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also a “foreign private issuer,” as defined in the Securities and Exchange Act of 1934, as amended (the “Exchange Act”), and will be exempt from certain rules under the Exchange Act that impose certain disclosure obligations and procedural requirements for proxy solicitations under Section 14 of the Exchange Act. In addition, our officers, directors and principal shareholders will be exempt from the “short swing” profit recovery provisions under Section 16 of the Exchange Act. Moreover, we will not be required to file periodic reports and financial statements with the U.S. Securities and Exchange Commission as frequently or as promptly as U.S. companies whose securities are registered under the Exchange Act.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IS SPECULATIVE AND INVOLVES HIGH RISKS THAT ARE DESCRIBED IN THE “RISK FACTORS” SECTION BEGINNING ON PAGE 9 OF THIS PROSPECTUS, IN ANY ACCOMPANYING PROSPECTUS SUPPLEMENT OR IN THE DOCUMENT INCORPORATED BY REFERENCE INTO THIS PROSPECTUS.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[__],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290"/>
        <w:gridCol w:w="120"/>
        <w:gridCol w:w="500"/>
      </w:tblGrid>
      <w:tr>
        <w:trPr/>
        <w:tc>
          <w:tcPr>
            <w:tcW w:w="629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bottom w:val="single" w:sz="1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Page</w:t>
            </w:r>
            <w:r>
              <w:rPr>
                <w:rFonts w:ascii="Times New Roman;Times;Serif" w:hAnsi="Times New Roman;Times;Serif"/>
                <w:b w:val="false"/>
                <w:i w:val="false"/>
                <w:caps w:val="false"/>
                <w:smallCaps w:val="false"/>
                <w:sz w:val="20"/>
              </w:rPr>
              <w:t xml:space="preserve"> </w:t>
            </w:r>
          </w:p>
        </w:tc>
      </w:tr>
      <w:tr>
        <w:trPr/>
        <w:tc>
          <w:tcPr>
            <w:tcW w:w="6290" w:type="dxa"/>
            <w:tcBorders/>
            <w:shd w:fill="CCEEFF" w:val="clear"/>
            <w:vAlign w:val="center"/>
          </w:tcPr>
          <w:p>
            <w:pPr>
              <w:pStyle w:val="TableContents"/>
              <w:bidi w:val="0"/>
              <w:spacing w:before="0" w:after="283"/>
              <w:ind w:left="0" w:right="0" w:hanging="0"/>
              <w:jc w:val="left"/>
              <w:rPr/>
            </w:pPr>
            <w:hyperlink w:anchor="k_001">
              <w:r>
                <w:rPr>
                  <w:rStyle w:val="InternetLink"/>
                  <w:rFonts w:ascii="Times New Roman;Times;Serif" w:hAnsi="Times New Roman;Times;Serif"/>
                  <w:b w:val="false"/>
                  <w:i w:val="false"/>
                  <w:caps w:val="false"/>
                  <w:smallCaps w:val="false"/>
                  <w:sz w:val="20"/>
                </w:rPr>
                <w:t>ABOUT THIS PROSPECTUS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p>
        </w:tc>
      </w:tr>
      <w:tr>
        <w:trPr/>
        <w:tc>
          <w:tcPr>
            <w:tcW w:w="6290" w:type="dxa"/>
            <w:tcBorders/>
            <w:shd w:fill="FFFFFF" w:val="clear"/>
            <w:vAlign w:val="center"/>
          </w:tcPr>
          <w:p>
            <w:pPr>
              <w:pStyle w:val="TableContents"/>
              <w:bidi w:val="0"/>
              <w:spacing w:before="0" w:after="283"/>
              <w:ind w:left="0" w:right="0" w:hanging="0"/>
              <w:jc w:val="left"/>
              <w:rPr/>
            </w:pPr>
            <w:hyperlink w:anchor="k_002">
              <w:r>
                <w:rPr>
                  <w:rStyle w:val="InternetLink"/>
                  <w:rFonts w:ascii="Times New Roman;Times;Serif" w:hAnsi="Times New Roman;Times;Serif"/>
                  <w:b w:val="false"/>
                  <w:i w:val="false"/>
                  <w:caps w:val="false"/>
                  <w:smallCaps w:val="false"/>
                  <w:sz w:val="20"/>
                </w:rPr>
                <w:t>INDUSTRY AND MARKET DATA</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p>
        </w:tc>
      </w:tr>
      <w:tr>
        <w:trPr/>
        <w:tc>
          <w:tcPr>
            <w:tcW w:w="6290" w:type="dxa"/>
            <w:tcBorders/>
            <w:shd w:fill="CCEEFF" w:val="clear"/>
            <w:vAlign w:val="center"/>
          </w:tcPr>
          <w:p>
            <w:pPr>
              <w:pStyle w:val="TableContents"/>
              <w:bidi w:val="0"/>
              <w:spacing w:before="0" w:after="283"/>
              <w:ind w:left="0" w:right="0" w:hanging="0"/>
              <w:jc w:val="left"/>
              <w:rPr/>
            </w:pPr>
            <w:hyperlink w:anchor="k_003">
              <w:r>
                <w:rPr>
                  <w:rStyle w:val="InternetLink"/>
                  <w:rFonts w:ascii="Times New Roman;Times;Serif" w:hAnsi="Times New Roman;Times;Serif"/>
                  <w:b w:val="false"/>
                  <w:i w:val="false"/>
                  <w:caps w:val="false"/>
                  <w:smallCaps w:val="false"/>
                  <w:sz w:val="20"/>
                </w:rPr>
                <w:t>FREQUENTLY USED TERMS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p>
        </w:tc>
      </w:tr>
      <w:tr>
        <w:trPr/>
        <w:tc>
          <w:tcPr>
            <w:tcW w:w="6290" w:type="dxa"/>
            <w:tcBorders/>
            <w:shd w:fill="FFFFFF" w:val="clear"/>
            <w:vAlign w:val="center"/>
          </w:tcPr>
          <w:p>
            <w:pPr>
              <w:pStyle w:val="TableContents"/>
              <w:bidi w:val="0"/>
              <w:spacing w:before="0" w:after="283"/>
              <w:ind w:left="0" w:right="0" w:hanging="0"/>
              <w:jc w:val="left"/>
              <w:rPr/>
            </w:pPr>
            <w:hyperlink w:anchor="k_004">
              <w:r>
                <w:rPr>
                  <w:rStyle w:val="InternetLink"/>
                  <w:rFonts w:ascii="Times New Roman;Times;Serif" w:hAnsi="Times New Roman;Times;Serif"/>
                  <w:b w:val="false"/>
                  <w:i w:val="false"/>
                  <w:caps w:val="false"/>
                  <w:smallCaps w:val="false"/>
                  <w:sz w:val="20"/>
                </w:rPr>
                <w:t>CAUTIONARY NOTE REGARDING FORWARD-LOOKING STATEMENTS</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p>
        </w:tc>
      </w:tr>
      <w:tr>
        <w:trPr/>
        <w:tc>
          <w:tcPr>
            <w:tcW w:w="6290" w:type="dxa"/>
            <w:tcBorders/>
            <w:shd w:fill="CCEEFF" w:val="clear"/>
            <w:vAlign w:val="center"/>
          </w:tcPr>
          <w:p>
            <w:pPr>
              <w:pStyle w:val="TableContents"/>
              <w:bidi w:val="0"/>
              <w:spacing w:before="0" w:after="283"/>
              <w:ind w:left="0" w:right="0" w:hanging="0"/>
              <w:jc w:val="left"/>
              <w:rPr/>
            </w:pPr>
            <w:hyperlink w:anchor="k_005">
              <w:r>
                <w:rPr>
                  <w:rStyle w:val="InternetLink"/>
                  <w:rFonts w:ascii="Times New Roman;Times;Serif" w:hAnsi="Times New Roman;Times;Serif"/>
                  <w:b w:val="false"/>
                  <w:i w:val="false"/>
                  <w:caps w:val="false"/>
                  <w:smallCaps w:val="false"/>
                  <w:sz w:val="20"/>
                </w:rPr>
                <w:t>SUMMARY OF THE PROSPECTUS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r>
      <w:tr>
        <w:trPr/>
        <w:tc>
          <w:tcPr>
            <w:tcW w:w="6290" w:type="dxa"/>
            <w:tcBorders/>
            <w:shd w:fill="FFFFFF" w:val="clear"/>
            <w:vAlign w:val="center"/>
          </w:tcPr>
          <w:p>
            <w:pPr>
              <w:pStyle w:val="TableContents"/>
              <w:bidi w:val="0"/>
              <w:spacing w:before="0" w:after="283"/>
              <w:ind w:left="0" w:right="0" w:hanging="0"/>
              <w:jc w:val="left"/>
              <w:rPr/>
            </w:pPr>
            <w:hyperlink w:anchor="k_006">
              <w:r>
                <w:rPr>
                  <w:rStyle w:val="InternetLink"/>
                  <w:rFonts w:ascii="Times New Roman;Times;Serif" w:hAnsi="Times New Roman;Times;Serif"/>
                  <w:b w:val="false"/>
                  <w:i w:val="false"/>
                  <w:caps w:val="false"/>
                  <w:smallCaps w:val="false"/>
                  <w:sz w:val="20"/>
                </w:rPr>
                <w:t>THE OFFERING</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r>
      <w:tr>
        <w:trPr/>
        <w:tc>
          <w:tcPr>
            <w:tcW w:w="6290" w:type="dxa"/>
            <w:tcBorders/>
            <w:shd w:fill="CCEEFF" w:val="clear"/>
            <w:vAlign w:val="center"/>
          </w:tcPr>
          <w:p>
            <w:pPr>
              <w:pStyle w:val="TableContents"/>
              <w:bidi w:val="0"/>
              <w:spacing w:before="0" w:after="283"/>
              <w:ind w:left="0" w:right="0" w:hanging="0"/>
              <w:jc w:val="left"/>
              <w:rPr/>
            </w:pPr>
            <w:hyperlink w:anchor="k_007">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p>
        </w:tc>
      </w:tr>
      <w:tr>
        <w:trPr/>
        <w:tc>
          <w:tcPr>
            <w:tcW w:w="6290" w:type="dxa"/>
            <w:tcBorders/>
            <w:shd w:fill="FFFFFF" w:val="clear"/>
            <w:vAlign w:val="center"/>
          </w:tcPr>
          <w:p>
            <w:pPr>
              <w:pStyle w:val="TableContents"/>
              <w:bidi w:val="0"/>
              <w:spacing w:before="0" w:after="283"/>
              <w:ind w:left="0" w:right="0" w:hanging="0"/>
              <w:jc w:val="left"/>
              <w:rPr/>
            </w:pPr>
            <w:hyperlink w:anchor="k_008">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r>
      <w:tr>
        <w:trPr/>
        <w:tc>
          <w:tcPr>
            <w:tcW w:w="6290" w:type="dxa"/>
            <w:tcBorders/>
            <w:shd w:fill="CCEEFF" w:val="clear"/>
            <w:vAlign w:val="center"/>
          </w:tcPr>
          <w:p>
            <w:pPr>
              <w:pStyle w:val="TableContents"/>
              <w:bidi w:val="0"/>
              <w:spacing w:before="0" w:after="283"/>
              <w:ind w:left="0" w:right="0" w:hanging="0"/>
              <w:jc w:val="left"/>
              <w:rPr/>
            </w:pPr>
            <w:hyperlink w:anchor="k_030">
              <w:r>
                <w:rPr>
                  <w:rStyle w:val="InternetLink"/>
                  <w:rFonts w:ascii="Times New Roman;Times;Serif" w:hAnsi="Times New Roman;Times;Serif"/>
                  <w:b w:val="false"/>
                  <w:i w:val="false"/>
                  <w:caps w:val="false"/>
                  <w:smallCaps w:val="false"/>
                  <w:sz w:val="20"/>
                </w:rPr>
                <w:t>CERTAIN MATERIAL U.S. FEDERAL INCOME TAX CONSIDERATIONS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p>
        </w:tc>
      </w:tr>
      <w:tr>
        <w:trPr/>
        <w:tc>
          <w:tcPr>
            <w:tcW w:w="6290" w:type="dxa"/>
            <w:tcBorders/>
            <w:shd w:fill="FFFFFF" w:val="clear"/>
            <w:vAlign w:val="center"/>
          </w:tcPr>
          <w:p>
            <w:pPr>
              <w:pStyle w:val="TableContents"/>
              <w:bidi w:val="0"/>
              <w:spacing w:before="0" w:after="283"/>
              <w:ind w:left="0" w:right="0" w:hanging="0"/>
              <w:jc w:val="left"/>
              <w:rPr/>
            </w:pPr>
            <w:hyperlink w:anchor="k_018">
              <w:r>
                <w:rPr>
                  <w:rStyle w:val="InternetLink"/>
                  <w:rFonts w:ascii="Times New Roman;Times;Serif" w:hAnsi="Times New Roman;Times;Serif"/>
                  <w:b w:val="false"/>
                  <w:i w:val="false"/>
                  <w:caps w:val="false"/>
                  <w:smallCaps w:val="false"/>
                  <w:sz w:val="20"/>
                </w:rPr>
                <w:t>DESCRIPTION OF SECURITIES</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p>
        </w:tc>
      </w:tr>
      <w:tr>
        <w:trPr/>
        <w:tc>
          <w:tcPr>
            <w:tcW w:w="6290" w:type="dxa"/>
            <w:tcBorders/>
            <w:shd w:fill="CCEEFF" w:val="clear"/>
            <w:vAlign w:val="center"/>
          </w:tcPr>
          <w:p>
            <w:pPr>
              <w:pStyle w:val="TableContents"/>
              <w:bidi w:val="0"/>
              <w:spacing w:before="0" w:after="283"/>
              <w:ind w:left="0" w:right="0" w:hanging="0"/>
              <w:jc w:val="left"/>
              <w:rPr/>
            </w:pPr>
            <w:hyperlink w:anchor="k_021">
              <w:r>
                <w:rPr>
                  <w:rStyle w:val="InternetLink"/>
                  <w:rFonts w:ascii="Times New Roman;Times;Serif" w:hAnsi="Times New Roman;Times;Serif"/>
                  <w:b w:val="false"/>
                  <w:i w:val="false"/>
                  <w:caps w:val="false"/>
                  <w:smallCaps w:val="false"/>
                  <w:sz w:val="20"/>
                </w:rPr>
                <w:t>SELLING SECURITYHOLDERS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p>
        </w:tc>
      </w:tr>
      <w:tr>
        <w:trPr/>
        <w:tc>
          <w:tcPr>
            <w:tcW w:w="6290" w:type="dxa"/>
            <w:tcBorders/>
            <w:shd w:fill="FFFFFF" w:val="clear"/>
            <w:vAlign w:val="center"/>
          </w:tcPr>
          <w:p>
            <w:pPr>
              <w:pStyle w:val="TableContents"/>
              <w:bidi w:val="0"/>
              <w:spacing w:before="0" w:after="283"/>
              <w:ind w:left="0" w:right="0" w:hanging="0"/>
              <w:jc w:val="left"/>
              <w:rPr/>
            </w:pPr>
            <w:hyperlink w:anchor="k_022">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p>
        </w:tc>
      </w:tr>
      <w:tr>
        <w:trPr/>
        <w:tc>
          <w:tcPr>
            <w:tcW w:w="6290" w:type="dxa"/>
            <w:tcBorders/>
            <w:shd w:fill="CCEEFF" w:val="clear"/>
            <w:vAlign w:val="center"/>
          </w:tcPr>
          <w:p>
            <w:pPr>
              <w:pStyle w:val="TableContents"/>
              <w:bidi w:val="0"/>
              <w:spacing w:before="0" w:after="283"/>
              <w:ind w:left="0" w:right="0" w:hanging="0"/>
              <w:jc w:val="left"/>
              <w:rPr/>
            </w:pPr>
            <w:hyperlink w:anchor="b_001">
              <w:r>
                <w:rPr>
                  <w:rStyle w:val="InternetLink"/>
                  <w:rFonts w:ascii="Times New Roman;Times;Serif" w:hAnsi="Times New Roman;Times;Serif"/>
                  <w:b w:val="false"/>
                  <w:i w:val="false"/>
                  <w:caps w:val="false"/>
                  <w:smallCaps w:val="false"/>
                  <w:sz w:val="20"/>
                </w:rPr>
                <w:t>EXPENSES RELATING TO THIS OFFERING</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p>
        </w:tc>
      </w:tr>
      <w:tr>
        <w:trPr/>
        <w:tc>
          <w:tcPr>
            <w:tcW w:w="6290" w:type="dxa"/>
            <w:tcBorders/>
            <w:shd w:fill="FFFFFF" w:val="clear"/>
            <w:vAlign w:val="center"/>
          </w:tcPr>
          <w:p>
            <w:pPr>
              <w:pStyle w:val="TableContents"/>
              <w:bidi w:val="0"/>
              <w:spacing w:before="0" w:after="283"/>
              <w:ind w:left="0" w:right="0" w:hanging="0"/>
              <w:jc w:val="left"/>
              <w:rPr/>
            </w:pPr>
            <w:hyperlink w:anchor="k_023">
              <w:r>
                <w:rPr>
                  <w:rStyle w:val="InternetLink"/>
                  <w:rFonts w:ascii="Times New Roman;Times;Serif" w:hAnsi="Times New Roman;Times;Serif"/>
                  <w:b w:val="false"/>
                  <w:i w:val="false"/>
                  <w:caps w:val="false"/>
                  <w:smallCaps w:val="false"/>
                  <w:sz w:val="20"/>
                </w:rPr>
                <w:t>LEGAL MATTERS</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p>
        </w:tc>
      </w:tr>
      <w:tr>
        <w:trPr/>
        <w:tc>
          <w:tcPr>
            <w:tcW w:w="6290" w:type="dxa"/>
            <w:tcBorders/>
            <w:shd w:fill="CCEEFF" w:val="clear"/>
            <w:vAlign w:val="center"/>
          </w:tcPr>
          <w:p>
            <w:pPr>
              <w:pStyle w:val="TableContents"/>
              <w:bidi w:val="0"/>
              <w:spacing w:before="0" w:after="283"/>
              <w:ind w:left="0" w:right="0" w:hanging="0"/>
              <w:jc w:val="left"/>
              <w:rPr/>
            </w:pPr>
            <w:hyperlink w:anchor="k_024">
              <w:r>
                <w:rPr>
                  <w:rStyle w:val="InternetLink"/>
                  <w:rFonts w:ascii="Times New Roman;Times;Serif" w:hAnsi="Times New Roman;Times;Serif"/>
                  <w:b w:val="false"/>
                  <w:i w:val="false"/>
                  <w:caps w:val="false"/>
                  <w:smallCaps w:val="false"/>
                  <w:sz w:val="20"/>
                </w:rPr>
                <w:t>EXPERTS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p>
        </w:tc>
      </w:tr>
      <w:tr>
        <w:trPr/>
        <w:tc>
          <w:tcPr>
            <w:tcW w:w="6290" w:type="dxa"/>
            <w:tcBorders/>
            <w:shd w:fill="FFFFFF" w:val="clear"/>
            <w:vAlign w:val="center"/>
          </w:tcPr>
          <w:p>
            <w:pPr>
              <w:pStyle w:val="TableContents"/>
              <w:bidi w:val="0"/>
              <w:spacing w:before="0" w:after="283"/>
              <w:ind w:left="0" w:right="0" w:hanging="0"/>
              <w:jc w:val="left"/>
              <w:rPr/>
            </w:pPr>
            <w:hyperlink w:anchor="k_025">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p>
        </w:tc>
      </w:tr>
      <w:tr>
        <w:trPr/>
        <w:tc>
          <w:tcPr>
            <w:tcW w:w="6290" w:type="dxa"/>
            <w:tcBorders/>
            <w:shd w:fill="CCEEFF" w:val="clear"/>
            <w:vAlign w:val="center"/>
          </w:tcPr>
          <w:p>
            <w:pPr>
              <w:pStyle w:val="TableContents"/>
              <w:bidi w:val="0"/>
              <w:spacing w:before="0" w:after="283"/>
              <w:ind w:left="0" w:right="0" w:hanging="0"/>
              <w:jc w:val="left"/>
              <w:rPr/>
            </w:pPr>
            <w:hyperlink w:anchor="b_002">
              <w:r>
                <w:rPr>
                  <w:rStyle w:val="InternetLink"/>
                  <w:rFonts w:ascii="Times New Roman;Times;Serif" w:hAnsi="Times New Roman;Times;Serif"/>
                  <w:b w:val="false"/>
                  <w:i w:val="false"/>
                  <w:caps w:val="false"/>
                  <w:smallCaps w:val="false"/>
                  <w:sz w:val="20"/>
                </w:rPr>
                <w:t>INCORPORATION OF CERTAIN INFORMATION BY REFERENCE</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p>
        </w:tc>
      </w:tr>
      <w:tr>
        <w:trPr/>
        <w:tc>
          <w:tcPr>
            <w:tcW w:w="6290" w:type="dxa"/>
            <w:tcBorders/>
            <w:shd w:fill="FFFFFF" w:val="clear"/>
            <w:vAlign w:val="center"/>
          </w:tcPr>
          <w:p>
            <w:pPr>
              <w:pStyle w:val="TableContents"/>
              <w:bidi w:val="0"/>
              <w:spacing w:before="0" w:after="283"/>
              <w:ind w:left="0" w:right="0" w:hanging="0"/>
              <w:jc w:val="left"/>
              <w:rPr/>
            </w:pPr>
            <w:hyperlink w:anchor="b_003">
              <w:r>
                <w:rPr>
                  <w:rStyle w:val="InternetLink"/>
                  <w:rFonts w:ascii="Times New Roman;Times;Serif" w:hAnsi="Times New Roman;Times;Serif"/>
                  <w:b w:val="false"/>
                  <w:i w:val="false"/>
                  <w:caps w:val="false"/>
                  <w:smallCaps w:val="false"/>
                  <w:sz w:val="20"/>
                </w:rPr>
                <w:t>PART II INFORMATION NOT REQUIRED IN PROSPECTUS</w:t>
              </w:r>
            </w:hyperlink>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II-1 </w:t>
            </w:r>
          </w:p>
        </w:tc>
      </w:tr>
      <w:tr>
        <w:trPr/>
        <w:tc>
          <w:tcPr>
            <w:tcW w:w="6290" w:type="dxa"/>
            <w:tcBorders/>
            <w:shd w:fill="CCEEFF" w:val="clear"/>
            <w:vAlign w:val="center"/>
          </w:tcPr>
          <w:p>
            <w:pPr>
              <w:pStyle w:val="TableContents"/>
              <w:bidi w:val="0"/>
              <w:spacing w:before="0" w:after="283"/>
              <w:ind w:left="0" w:right="0" w:hanging="0"/>
              <w:jc w:val="left"/>
              <w:rPr/>
            </w:pPr>
            <w:hyperlink w:anchor="k_029">
              <w:r>
                <w:rPr>
                  <w:rStyle w:val="InternetLink"/>
                  <w:rFonts w:ascii="Times New Roman;Times;Serif" w:hAnsi="Times New Roman;Times;Serif"/>
                  <w:b w:val="false"/>
                  <w:i w:val="false"/>
                  <w:caps w:val="false"/>
                  <w:smallCaps w:val="false"/>
                  <w:sz w:val="20"/>
                </w:rPr>
                <w:t>SIGNATURES</w:t>
              </w:r>
            </w:hyperlink>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xml:space="preserve">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II-5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any amendment or supplement. Neither we nor the Selling Shareholders have authorized anyone else to provide you with different information. The securities offered by this prospectus are being offered only in jurisdictions where the offer is permitted. You should not assume that the information in this prospectus or any amendment or supplement is accurate as of any date other than the date on the front of each document.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prospectus, neither we nor the Selling Shareholders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k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F-1 filed with the SEC by GCL Global Holdings Ltd. The Selling Shareholders named in this prospectus may, from time to time, sell the securities described in this prospectus in one or more offerings. This prospectus includes important information about us, the securities being offered by the Selling Shareholders and other information you should know before investing. We may provide a prospectus supplement or post-effective amendment to the registration statement to add information to, or update or change information contained in, this prospectus. If there is any inconsistency between the information contained in this prospectus and any prospectus supplement or post-effective amendment, you should rely on the information contained in that particular prospectus supplement or post-effective amendment. You should read this prospectus together with the additional information about us described in the section below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xml:space="preserve">.” You should rely only on information contained in this prospectus, any prospectus supplement and any related free writing prospectus. We have not, and the Selling Shareholders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sell the securities directly to purchasers, through agents selected by the Selling Shareholders,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Neither we nor the Selling Shareholders have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Ordinary Shares and Warrants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k_002"/>
      <w:bookmarkEnd w:id="3"/>
      <w:r>
        <w:rPr>
          <w:rFonts w:ascii="Times New Roman;Times;Serif" w:hAnsi="Times New Roman;Times;Serif"/>
          <w:b/>
          <w:i w:val="false"/>
          <w:caps w:val="false"/>
          <w:smallCaps w:val="false"/>
          <w:sz w:val="20"/>
        </w:rPr>
        <w:t>INDUSTRY AND MARKET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and other information concerning our industry, including market size and growth of the market in which we participate, that are derived from various public sources. This information involves a number of assumptions and limitations, and you are cautioned not to give undue weight to these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publications, research, studies and forecasts generally state that the information they contain has been obtained from sources believed to be reliable, but that the accuracy and completeness of such information is not guaranteed. In some cases, we do not expressly refer to the sources from which these estimates and information are derived. While we have compiled, extracted, and reproduced industry data from these sources, we have not independently verified the data.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in our then-most recent annual report on Form 20-F, and any updates to those risk factors in our reports on Form 6-K incorporated by reference in this prospectus, together with all of the other information appearing or incorporated by reference in this prospectus. These and other factors could cause results to differ materially from those expressed in any forecasts or estimates.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k_003"/>
      <w:bookmarkEnd w:id="4"/>
      <w:r>
        <w:rPr>
          <w:rFonts w:ascii="Times New Roman;Times;Serif" w:hAnsi="Times New Roman;Times;Serif"/>
          <w:b/>
          <w:i w:val="false"/>
          <w:caps w:val="false"/>
          <w:smallCaps w:val="false"/>
          <w:sz w:val="20"/>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or required by context, references in this prospectus to “we,” “us,” “our,” “our company,” “GCL,” “the Company” and “PubCo” are to GCL Global Holdings Ltd and its subsidiaries.</w:t>
      </w:r>
    </w:p>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Acquisition Entities” means, collectively, the Company, Merger Sub 1 and Merger Sub 2, and each, individually, an “Acquisition Entity.”</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Amended and Restated Memorandum and Articles of Association” means the Amended and Restated Memorandum of Association and Articles of Association of the Company adopted on February 13, 2025.</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Ancillary Agreements” means, collectively, the Sponsor Support Agreement, the Shareholder Support Agreement, the Lock-Up Agreements, the Registration Rights Agreement, the PubCo Governing Documents, the Assignment and Assumption Agreement, and the joinders to the Merger Agreement executed and delivered by each Acquisition Entity following its formation.</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 xml:space="preserve">● </w:t>
            </w:r>
          </w:p>
        </w:tc>
        <w:tc>
          <w:tcPr>
            <w:tcW w:w="9984" w:type="dxa"/>
            <w:tcBorders/>
            <w:vAlign w:val="center"/>
          </w:tcPr>
          <w:p>
            <w:pPr>
              <w:pStyle w:val="TableContents"/>
              <w:bidi w:val="0"/>
              <w:spacing w:before="0" w:after="283"/>
              <w:jc w:val="both"/>
              <w:rPr/>
            </w:pPr>
            <w:r>
              <w:rPr/>
              <w:t>“</w:t>
            </w:r>
            <w:r>
              <w:rPr>
                <w:rFonts w:ascii="Times New Roman;Times;Serif" w:hAnsi="Times New Roman;Times;Serif"/>
              </w:rPr>
              <w:t>April 2026 Warrant” means the three-year warrant the Company issued to an institutional investor on April 28, 2026 for 1,125,000 shares at an initial exercise price of $8.00 per share, subject to full-ratchet anti-dilution adjustments and other price protections, in exchange for a portion of the then-outstanding convertible notes issued pursuant to an Amendment, Waiver and Exchange Agreement dated April 28, 2026.</w:t>
            </w:r>
            <w:r>
              <w:rPr/>
              <w:t xml:space="preserve"> </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Business Combination” means the Mergers and the Transactions, together with the Restructuring, and each other transaction, document or agreement contemplated thereby, to be consummated pursuant to the Merger Agreement.</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Closing” means the closing of the Business Combination, which occurred on February 13, 2025 (the “Closing Date”).</w:t>
            </w:r>
          </w:p>
        </w:tc>
      </w:tr>
    </w:tbl>
    <w:p>
      <w:pPr>
        <w:pStyle w:val="TextBody"/>
        <w:bidi w:val="0"/>
        <w:spacing w:before="0" w:after="0"/>
        <w:ind w:left="950" w:right="0" w:hanging="475"/>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pPr>
            <w:r>
              <w:rPr/>
              <w:t>“</w:t>
            </w:r>
            <w:r>
              <w:rPr>
                <w:rFonts w:ascii="Times New Roman;Times;Serif" w:hAnsi="Times New Roman;Times;Serif"/>
              </w:rPr>
              <w:t>Code” means the Internal Revenue Code of 1986, as amended.</w:t>
            </w:r>
          </w:p>
        </w:tc>
      </w:tr>
    </w:tbl>
    <w:p>
      <w:pPr>
        <w:pStyle w:val="TextBody"/>
        <w:bidi w:val="0"/>
        <w:spacing w:before="0" w:after="0"/>
        <w:ind w:left="950" w:right="0" w:hanging="475"/>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pPr>
            <w:r>
              <w:rPr/>
              <w:t>“</w:t>
            </w:r>
            <w:r>
              <w:rPr>
                <w:rFonts w:ascii="Times New Roman;Times;Serif" w:hAnsi="Times New Roman;Times;Serif"/>
              </w:rPr>
              <w:t>Companies Act” means the Companies Act (as revised) of the Cayman Islands.</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Epicsoft Ventures” means EpicsoftVentures Ltd., a Cayman Islands exempted company. Jacky Choo See Wee, Chairman of the Board and Catherine Choo See Ling, a director of the Company, hold 98% and 1% of Epicsoft Ventures, respectively.</w:t>
            </w:r>
          </w:p>
        </w:tc>
      </w:tr>
    </w:tbl>
    <w:p>
      <w:pPr>
        <w:pStyle w:val="TextBody"/>
        <w:bidi w:val="0"/>
        <w:spacing w:before="0" w:after="0"/>
        <w:ind w:left="950" w:right="0" w:hanging="475"/>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w:t>
            </w:r>
            <w:r>
              <w:rPr>
                <w:rFonts w:ascii="Times New Roman;Times;Serif" w:hAnsi="Times New Roman;Times;Serif"/>
              </w:rPr>
              <w:t>EBC” means EarlyBirdCapital Inc., the representative of the underwriters in the IPO.</w:t>
            </w:r>
          </w:p>
        </w:tc>
      </w:tr>
    </w:tbl>
    <w:p>
      <w:pPr>
        <w:pStyle w:val="TextBody"/>
        <w:bidi w:val="0"/>
        <w:spacing w:before="0" w:after="0"/>
        <w:ind w:left="950" w:right="0" w:hanging="475"/>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pPr>
            <w:r>
              <w:rPr/>
              <w:t>“</w:t>
            </w:r>
            <w:r>
              <w:rPr>
                <w:rFonts w:ascii="Times New Roman;Times;Serif" w:hAnsi="Times New Roman;Times;Serif"/>
              </w:rPr>
              <w:t>Exchange Act” means the Securities Exchange Act of 1934, as amended.</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GCL Companies” or “GCL Group” means, collectively, GCL Global and the Group Subsidiaries (but not, for the avoidance of doubt, the Acquisition Entities).</w:t>
            </w:r>
          </w:p>
        </w:tc>
      </w:tr>
    </w:tbl>
    <w:p>
      <w:pPr>
        <w:pStyle w:val="TextBody"/>
        <w:bidi w:val="0"/>
        <w:spacing w:before="0" w:after="0"/>
        <w:ind w:left="950" w:right="0" w:hanging="475"/>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t>“</w:t>
            </w:r>
            <w:r>
              <w:rPr>
                <w:rFonts w:ascii="Times New Roman;Times;Serif" w:hAnsi="Times New Roman;Times;Serif"/>
              </w:rPr>
              <w:t>GCL Global” means GCL Global Limited, a Cayman Islands exempted company limited by shares.</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Group Subsidiaries” means, collectively, (i) Titan Digital Media Pte. Ltd., a Singapore company, (ii) Epicsoft Hong Kong Limited, a Hong Kong company, (iii) Epicsoft Malaysia Sdn. Bhd., a Malaysia company, (iv) Epicsoft Asia Pte. Ltd., a Singapore company, (v) 4Divinity Pte. Ltd., a Singapore company, (vi) 2Game Digital Limited, a Hong Kong company, (vii) Starry Jewelry Pte Ltd., a Singapore company, (viii) Martiangear Pte Ltd., a Singapore company, and (ix) 2 Game Pro Ltda, a Brazilian company ; except that if the context refers to all GCL Global’s current subsidiaries, this means also (x) 2Game Digital DMCC, a U.A.E. company; (xi) 4Divinity UK Ltd., a U.K. company; (xii) Hainan GCL Technology Co. Ltd., a Chinese company, in addition to the foregoing entities listed in (i) through (ix) (See “</w:t>
            </w:r>
            <w:r>
              <w:rPr>
                <w:rFonts w:ascii="Times New Roman;Times;Serif" w:hAnsi="Times New Roman;Times;Serif"/>
                <w:i/>
              </w:rPr>
              <w:t>Our Organizational Structure</w:t>
            </w:r>
            <w:r>
              <w:rPr>
                <w:rFonts w:ascii="Times New Roman;Times;Serif" w:hAnsi="Times New Roman;Times;Serif"/>
              </w:rPr>
              <w:t>”)</w:t>
            </w:r>
            <w:r>
              <w:rPr/>
              <w:t>.</w:t>
            </w:r>
          </w:p>
        </w:tc>
      </w:tr>
    </w:tbl>
    <w:p>
      <w:pPr>
        <w:pStyle w:val="TextBody"/>
        <w:bidi w:val="0"/>
        <w:spacing w:before="0" w:after="0"/>
        <w:ind w:left="950" w:right="0" w:hanging="475"/>
        <w:jc w:val="both"/>
        <w:rPr>
          <w:caps w:val="false"/>
          <w:smallCaps w:val="false"/>
        </w:rPr>
      </w:pPr>
      <w:r>
        <w:rPr>
          <w:caps w:val="false"/>
          <w:smallCaps w:val="false"/>
        </w:rPr>
        <w:t> </w:t>
      </w:r>
    </w:p>
    <w:p>
      <w:pPr>
        <w:pStyle w:val="TextBody"/>
        <w:bidi w:val="0"/>
        <w:spacing w:before="0" w:after="0"/>
        <w:ind w:left="950" w:right="0" w:hanging="475"/>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Incentive Shares” means the 2,000,000 Ordinary Shares issued at the closing of the Business Combination as an incentive in connection with non-redemption or similar agreements or sources of Transaction Financing, to be allocated by the Sponsor in its sole discretion.</w:t>
            </w:r>
          </w:p>
        </w:tc>
      </w:tr>
    </w:tbl>
    <w:p>
      <w:pPr>
        <w:pStyle w:val="TextBody"/>
        <w:bidi w:val="0"/>
        <w:spacing w:before="0" w:after="0"/>
        <w:ind w:left="950" w:right="0" w:hanging="475"/>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pPr>
            <w:r>
              <w:rPr/>
              <w:t>“</w:t>
            </w:r>
            <w:r>
              <w:rPr>
                <w:rFonts w:ascii="Times New Roman;Times;Serif" w:hAnsi="Times New Roman;Times;Serif"/>
              </w:rPr>
              <w:t>Initial Merger” means the merger of Merger Sub 1 with and into GCL Global.</w:t>
            </w:r>
          </w:p>
        </w:tc>
      </w:tr>
    </w:tbl>
    <w:p>
      <w:pPr>
        <w:pStyle w:val="TextBody"/>
        <w:bidi w:val="0"/>
        <w:spacing w:before="0" w:after="0"/>
        <w:ind w:left="950" w:right="0" w:hanging="475"/>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pPr>
            <w:r>
              <w:rPr/>
              <w:t>“</w:t>
            </w:r>
            <w:r>
              <w:rPr>
                <w:rFonts w:ascii="Times New Roman;Times;Serif" w:hAnsi="Times New Roman;Times;Serif"/>
              </w:rPr>
              <w:t>IPO” means RFAC’s initial public offering of RFAC Units, consummated on March 28, 2022.</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Merger Agreement” means an agreement and plan of merger dated October 18, 2023 (as amended on December 1, 2023, December 15, 2023, January 31, 2024, and September 30, 2024) with the Company, Grand Centrex Limited, a British Virgin Islands business company (“GCL BVI”), GCL Global, and, for the limited purposes set forth therein, the Sponsor.</w:t>
            </w:r>
          </w:p>
        </w:tc>
      </w:tr>
    </w:tbl>
    <w:p>
      <w:pPr>
        <w:pStyle w:val="TextBody"/>
        <w:bidi w:val="0"/>
        <w:spacing w:before="0" w:after="0"/>
        <w:ind w:left="950" w:right="0" w:hanging="475"/>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pPr>
            <w:r>
              <w:rPr/>
              <w:t>“</w:t>
            </w:r>
            <w:r>
              <w:rPr>
                <w:rFonts w:ascii="Times New Roman;Times;Serif" w:hAnsi="Times New Roman;Times;Serif"/>
              </w:rPr>
              <w:t>Merger Consideration” means $1,200,000,000.</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Merger Sub 1” means GCL Sub, a Cayman Islands exempted company limited by shares and wholly owned direct subsidiary of the Company, formed by the Company pursuant to the Merger Agreement for the purpose of participating in the transactions contemplated by the Merger Agreement.</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Merger Sub 2” means GCL Sub 2, Inc., a Delaware corporation and wholly owned direct subsidiary of the Company, formed by the Company pursuant to the Merger Agreement for the purpose of participating in the transactions contemplated by the Merger Agreement.</w:t>
            </w:r>
          </w:p>
        </w:tc>
      </w:tr>
    </w:tbl>
    <w:p>
      <w:pPr>
        <w:pStyle w:val="TextBody"/>
        <w:bidi w:val="0"/>
        <w:spacing w:before="0" w:after="0"/>
        <w:ind w:left="950" w:right="0" w:hanging="475"/>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w:t>
            </w:r>
            <w:r>
              <w:rPr>
                <w:rFonts w:ascii="Times New Roman;Times;Serif" w:hAnsi="Times New Roman;Times;Serif"/>
              </w:rPr>
              <w:t>Mergers” means the Initial Merger and the SPAC Merger.</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Ordinary Shares” or “PubCo Ordinary Shares” means the ordinary shares of the Company, par value $0.0001 per share.</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PubCo Charter” means the Amended and Restated Memorandum and Articles of Association of the Company.</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Registration Rights Agreement” means the registration rights agreement, dated February 13, 2025, by and among the Company, GCL Global and certain holders named therein, providing for certain registration rights to those parties.</w:t>
            </w:r>
          </w:p>
        </w:tc>
      </w:tr>
    </w:tbl>
    <w:p>
      <w:pPr>
        <w:pStyle w:val="TextBody"/>
        <w:bidi w:val="0"/>
        <w:spacing w:before="0" w:after="0"/>
        <w:ind w:left="950" w:right="0" w:hanging="475"/>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w:t>
            </w:r>
            <w:r>
              <w:rPr>
                <w:rFonts w:ascii="Times New Roman;Times;Serif" w:hAnsi="Times New Roman;Times;Serif"/>
              </w:rPr>
              <w:t>RFAC” means RF Acquisition Corp., a Delaware corporation;</w:t>
            </w:r>
          </w:p>
        </w:tc>
      </w:tr>
    </w:tbl>
    <w:p>
      <w:pPr>
        <w:pStyle w:val="TextBody"/>
        <w:bidi w:val="0"/>
        <w:spacing w:before="0" w:after="0"/>
        <w:ind w:left="950" w:right="0" w:hanging="475"/>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w:t>
            </w:r>
            <w:r>
              <w:rPr>
                <w:rFonts w:ascii="Times New Roman;Times;Serif" w:hAnsi="Times New Roman;Times;Serif"/>
              </w:rPr>
              <w:t>RFAC Common Stock” means RFAC Class A Common Stock and RFAC Class B Common Stock.</w:t>
            </w:r>
          </w:p>
        </w:tc>
      </w:tr>
    </w:tbl>
    <w:p>
      <w:pPr>
        <w:pStyle w:val="TextBody"/>
        <w:bidi w:val="0"/>
        <w:spacing w:before="0" w:after="0"/>
        <w:ind w:left="950" w:right="0" w:hanging="475"/>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w:t>
            </w:r>
            <w:r>
              <w:rPr>
                <w:rFonts w:ascii="Times New Roman;Times;Serif" w:hAnsi="Times New Roman;Times;Serif"/>
              </w:rPr>
              <w:t>RFAC Class A Common Stock” means Class A common stock of RFAC, par value $0.0001 per share.</w:t>
            </w:r>
          </w:p>
        </w:tc>
      </w:tr>
    </w:tbl>
    <w:p>
      <w:pPr>
        <w:pStyle w:val="TextBody"/>
        <w:bidi w:val="0"/>
        <w:spacing w:before="0" w:after="0"/>
        <w:ind w:left="950" w:right="0" w:hanging="475"/>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pPr>
            <w:r>
              <w:rPr/>
              <w:t>“</w:t>
            </w:r>
            <w:r>
              <w:rPr>
                <w:rFonts w:ascii="Times New Roman;Times;Serif" w:hAnsi="Times New Roman;Times;Serif"/>
              </w:rPr>
              <w:t>RFAC Class B Common Stock” means Class B common stock of RFAC, par value $0.0001 per share.</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RFAC Private Placement” means the private placement that closed concurrently with the closing of the IPO pursuant to which RFAC issued and sold to the Sponsor 4,050,000 RFAC Private Placement Warrants and sold to EBC 500,000 RFAC Private Placement Warrants, in each case, at a price of $1.00 per RFAC Private Placement Warrant, generating gross proceeds of $4,550,000, and the private placement occurring at the exercise of the over-allotment option, pursuant to which RFAC issued and sold to the Sponsor an additional 400,500 RFAC Private Placement Warrants and sold to EBC an additional 49,500 RFAC Private Placement Warrants, in each case, at a price of $1.00 per RFAC Private Placement Warrant, generating additional gross proceeds of $450,000.</w:t>
            </w:r>
          </w:p>
        </w:tc>
      </w:tr>
    </w:tbl>
    <w:p>
      <w:pPr>
        <w:pStyle w:val="TextBody"/>
        <w:bidi w:val="0"/>
        <w:spacing w:before="0" w:after="0"/>
        <w:ind w:left="950" w:right="0" w:hanging="475"/>
        <w:jc w:val="both"/>
        <w:rPr>
          <w:caps w:val="false"/>
          <w:smallCaps w:val="false"/>
        </w:rPr>
      </w:pPr>
      <w:r>
        <w:rPr>
          <w:caps w:val="false"/>
          <w:smallCaps w:val="false"/>
        </w:rPr>
        <w:t> </w:t>
      </w:r>
    </w:p>
    <w:p>
      <w:pPr>
        <w:pStyle w:val="TextBody"/>
        <w:bidi w:val="0"/>
        <w:spacing w:before="0" w:after="0"/>
        <w:ind w:left="950" w:right="0" w:hanging="475"/>
        <w:jc w:val="center"/>
        <w:rPr>
          <w:bdr w:val="single" w:sz="12" w:space="1" w:color="000000"/>
        </w:rPr>
      </w:pPr>
      <w:r>
        <w:rPr>
          <w:bdr w:val="single" w:sz="12" w:space="1" w:color="000000"/>
        </w:rPr>
        <w:t>v</w:t>
      </w:r>
    </w:p>
    <w:p>
      <w:pPr>
        <w:pStyle w:val="TextBody"/>
        <w:bidi w:val="0"/>
        <w:spacing w:before="0" w:after="0"/>
        <w:ind w:left="0" w:right="0" w:hanging="0"/>
        <w:jc w:val="left"/>
        <w:rPr/>
      </w:pPr>
      <w:r>
        <w:rPr/>
        <w:t> </w:t>
      </w:r>
    </w:p>
    <w:p>
      <w:pPr>
        <w:pStyle w:val="TextBody"/>
        <w:bidi w:val="0"/>
        <w:spacing w:before="0" w:after="0"/>
        <w:ind w:left="950" w:right="0" w:hanging="475"/>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w:t>
            </w:r>
            <w:r>
              <w:rPr>
                <w:rFonts w:ascii="Times New Roman;Times;Serif" w:hAnsi="Times New Roman;Times;Serif"/>
              </w:rPr>
              <w:t>RFAC Private Placement Warrants” means the warrants purchased in the RFAC Private Placement.</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RFAC Private Placement Warrants Purchase Agreements” means the private placement warrants purchase agreement, dated as of March 23, 2022, by and between RFAC and EBC and the private placement warrants purchase agreements, dated as of March 23, 2022, by and between RFAC and the Sponsor.</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RFAC Public Shares” means the shares of RFAC Class A Common Stock sold as part of the RFAC Units in the IPO.</w:t>
            </w:r>
          </w:p>
        </w:tc>
      </w:tr>
    </w:tbl>
    <w:p>
      <w:pPr>
        <w:pStyle w:val="TextBody"/>
        <w:bidi w:val="0"/>
        <w:spacing w:before="0" w:after="0"/>
        <w:ind w:left="950" w:right="0" w:hanging="475"/>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pPr>
            <w:r>
              <w:rPr/>
              <w:t>“</w:t>
            </w:r>
            <w:r>
              <w:rPr>
                <w:rFonts w:ascii="Times New Roman;Times;Serif" w:hAnsi="Times New Roman;Times;Serif"/>
              </w:rPr>
              <w:t>RFAC Public Stockholder” means a holder of RFAC Public Shares.</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RFAC Public Warrants” means the RFAC warrants sold as part of the RFAC Units in the IPO, each warrant entitling its holder to purchase one share of RFAC Class A Common Stock for $11.50 per share.</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RFAC Public Rights” or “RFAC Rights” means the RFAC rights sold as part of the RFAC Units in the IPO, each right entitling its holder to receive one-tenth of one share of RFAC Class A Common Stock upon the consummation of an initial business combination.</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RFAC Units” means units of RFAC, each unit comprising one share of RFAC Class A Common Stock, one RFAC Public Right, and one RFAC Public Warrant.</w:t>
            </w:r>
          </w:p>
        </w:tc>
      </w:tr>
    </w:tbl>
    <w:p>
      <w:pPr>
        <w:pStyle w:val="TextBody"/>
        <w:bidi w:val="0"/>
        <w:spacing w:before="0" w:after="0"/>
        <w:ind w:left="950" w:right="0" w:hanging="475"/>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pPr>
            <w:r>
              <w:rPr/>
              <w:t>“</w:t>
            </w:r>
            <w:r>
              <w:rPr>
                <w:rFonts w:ascii="Times New Roman;Times;Serif" w:hAnsi="Times New Roman;Times;Serif"/>
              </w:rPr>
              <w:t>RFAC Warrants” means the RFAC Public Warrants and RFAC Private Placement Warrants.</w:t>
            </w:r>
          </w:p>
        </w:tc>
      </w:tr>
    </w:tbl>
    <w:p>
      <w:pPr>
        <w:pStyle w:val="TextBody"/>
        <w:bidi w:val="0"/>
        <w:spacing w:before="0" w:after="0"/>
        <w:ind w:left="950" w:right="0" w:hanging="475"/>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pPr>
            <w:r>
              <w:rPr/>
              <w:t>“</w:t>
            </w:r>
            <w:r>
              <w:rPr>
                <w:rFonts w:ascii="Times New Roman;Times;Serif" w:hAnsi="Times New Roman;Times;Serif"/>
              </w:rPr>
              <w:t>SEC” means the U.S. Securities and Exchange Commission.</w:t>
            </w:r>
          </w:p>
        </w:tc>
      </w:tr>
    </w:tbl>
    <w:p>
      <w:pPr>
        <w:pStyle w:val="TextBody"/>
        <w:bidi w:val="0"/>
        <w:spacing w:before="0" w:after="0"/>
        <w:ind w:left="950" w:right="0" w:hanging="475"/>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w:t>
            </w:r>
            <w:r>
              <w:rPr>
                <w:rFonts w:ascii="Times New Roman;Times;Serif" w:hAnsi="Times New Roman;Times;Serif"/>
              </w:rPr>
              <w:t>Securities Act” means the Securities Act of 1933, as amended.</w:t>
            </w:r>
          </w:p>
        </w:tc>
      </w:tr>
    </w:tbl>
    <w:p>
      <w:pPr>
        <w:pStyle w:val="TextBody"/>
        <w:bidi w:val="0"/>
        <w:spacing w:before="0" w:after="0"/>
        <w:ind w:left="950" w:right="0" w:hanging="475"/>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w:t>
            </w:r>
            <w:r>
              <w:rPr>
                <w:rFonts w:ascii="Times New Roman;Times;Serif" w:hAnsi="Times New Roman;Times;Serif"/>
              </w:rPr>
              <w:t>SPAC Merger” means the merger of Merger Sub 2 with and into RFAC.</w:t>
            </w:r>
          </w:p>
        </w:tc>
      </w:tr>
    </w:tbl>
    <w:p>
      <w:pPr>
        <w:pStyle w:val="TextBody"/>
        <w:bidi w:val="0"/>
        <w:spacing w:before="0" w:after="0"/>
        <w:ind w:left="950" w:right="0" w:hanging="475"/>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w:t>
            </w:r>
            <w:r>
              <w:rPr>
                <w:rFonts w:ascii="Times New Roman;Times;Serif" w:hAnsi="Times New Roman;Times;Serif"/>
              </w:rPr>
              <w:t>Sponsor” means RF Dynamic LLC, a Delaware limited liability company.</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Sponsor Founder Shares” means an aggregate of 2,875,000 RFAC Class A Common Stock issued to Sponsor in exchange for cash of $25,000 on January 21, 2021.</w:t>
            </w:r>
          </w:p>
        </w:tc>
      </w:tr>
    </w:tbl>
    <w:p>
      <w:pPr>
        <w:pStyle w:val="TextBody"/>
        <w:bidi w:val="0"/>
        <w:spacing w:before="0" w:after="0"/>
        <w:ind w:left="950" w:right="0" w:hanging="475"/>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pPr>
            <w:r>
              <w:rPr/>
              <w:t>“</w:t>
            </w:r>
            <w:r>
              <w:rPr>
                <w:rFonts w:ascii="Times New Roman;Times;Serif" w:hAnsi="Times New Roman;Times;Serif"/>
              </w:rPr>
              <w:t>Trading Day” means any day on which the Trading Market is open for trading.</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Trading Market” means the national stock exchange on which the PubCo Ordinary Shares are listed for trading.</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Transactions” means, collectively, the Mergers and each of the other transactions contemplated by the Merger Agreement or any of the Ancillary Agreements.</w:t>
            </w:r>
          </w:p>
        </w:tc>
      </w:tr>
    </w:tbl>
    <w:p>
      <w:pPr>
        <w:pStyle w:val="TextBody"/>
        <w:bidi w:val="0"/>
        <w:spacing w:before="0" w:after="0"/>
        <w:ind w:left="950" w:right="0" w:hanging="475"/>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pPr>
            <w:r>
              <w:rPr/>
              <w:t>“</w:t>
            </w:r>
            <w:r>
              <w:rPr>
                <w:rFonts w:ascii="Times New Roman;Times;Serif" w:hAnsi="Times New Roman;Times;Serif"/>
              </w:rPr>
              <w:t>U.S. Dollars,” “$,” or “US$” means the legal currency of the United States.</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U.S. GAAP” or “GAAP” means generally accepted accounting principles in the United States of America.</w:t>
            </w:r>
          </w:p>
        </w:tc>
      </w:tr>
    </w:tbl>
    <w:p>
      <w:pPr>
        <w:pStyle w:val="TextBody"/>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Warrants” or “PubCo Warrants” means warrants of the Company, each exercisable for one Ordinary Share at an exercise price of $11.50 per share, subject to adjustment.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Forward-looking statements also include statements regarding the expected benefits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
        <w:gridCol w:w="184"/>
        <w:gridCol w:w="9932"/>
      </w:tblGrid>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pPr>
            <w:r>
              <w:rPr>
                <w:rFonts w:ascii="Times New Roman;Times;Serif" w:hAnsi="Times New Roman;Times;Serif"/>
                <w:sz w:val="20"/>
              </w:rPr>
              <w:t>the benefits from the acquisition of Ban Leong;</w:t>
            </w:r>
            <w:r>
              <w:rPr/>
              <w:t xml:space="preserve"> </w:t>
            </w:r>
          </w:p>
        </w:tc>
      </w:tr>
      <w:tr>
        <w:trPr/>
        <w:tc>
          <w:tcPr>
            <w:tcW w:w="8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pPr>
            <w:r>
              <w:rPr>
                <w:rFonts w:ascii="Times New Roman;Times;Serif" w:hAnsi="Times New Roman;Times;Serif"/>
                <w:sz w:val="20"/>
              </w:rPr>
              <w:t>the ability to successfully integrate Ban Leong into GCL Group and achieve economies of scale and operational efficiencies;</w:t>
            </w:r>
            <w:r>
              <w:rPr/>
              <w:t xml:space="preserve"> </w:t>
            </w:r>
          </w:p>
        </w:tc>
      </w:tr>
      <w:tr>
        <w:trPr/>
        <w:tc>
          <w:tcPr>
            <w:tcW w:w="8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pPr>
            <w:r>
              <w:rPr>
                <w:rFonts w:ascii="Times New Roman;Times;Serif" w:hAnsi="Times New Roman;Times;Serif"/>
                <w:sz w:val="20"/>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and acceptance, liquidity, cash flows and uses of cash, capital expenditures, and our ability to invest in growth initiatives and pursue acquisition opportunities;</w:t>
            </w:r>
            <w:r>
              <w:rPr/>
              <w:t xml:space="preserve">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anticipated trends, growth rates, and challenges in the video game and entertainment content industry in general and the markets in which we operate;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stay in compliance with laws and regulations that currently apply or become applicable to our business in Singapore, Asia and other international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outcome of any legal proceedings that may be instituted against us and others following the Business Combination;</w:t>
            </w:r>
          </w:p>
        </w:tc>
      </w:tr>
    </w:tbl>
    <w:p>
      <w:pPr>
        <w:pStyle w:val="TextBody"/>
        <w:bidi w:val="0"/>
        <w:spacing w:before="0" w:after="0"/>
        <w:ind w:left="960" w:right="0" w:hanging="48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disruptions to our plans and operations as a result of the Business Combination;</w:t>
            </w:r>
          </w:p>
        </w:tc>
      </w:tr>
    </w:tbl>
    <w:p>
      <w:pPr>
        <w:pStyle w:val="TextBody"/>
        <w:bidi w:val="0"/>
        <w:spacing w:before="0" w:after="0"/>
        <w:ind w:left="960" w:right="0" w:hanging="48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to recognize the anticipated benefits of the Business Combination;</w:t>
            </w:r>
          </w:p>
        </w:tc>
      </w:tr>
    </w:tbl>
    <w:p>
      <w:pPr>
        <w:pStyle w:val="TextBody"/>
        <w:bidi w:val="0"/>
        <w:spacing w:before="0" w:after="0"/>
        <w:ind w:left="960" w:right="0" w:hanging="48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management and board composition;</w:t>
            </w:r>
          </w:p>
        </w:tc>
      </w:tr>
    </w:tbl>
    <w:p>
      <w:pPr>
        <w:pStyle w:val="TextBody"/>
        <w:bidi w:val="0"/>
        <w:spacing w:before="0" w:after="0"/>
        <w:ind w:left="960" w:right="0" w:hanging="48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listing status on Nasdaq;</w:t>
            </w:r>
          </w:p>
        </w:tc>
      </w:tr>
    </w:tbl>
    <w:p>
      <w:pPr>
        <w:pStyle w:val="TextBody"/>
        <w:bidi w:val="0"/>
        <w:spacing w:before="0" w:after="0"/>
        <w:ind w:left="960" w:right="0" w:hanging="48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possibility that we may be adversely affected by other economic, business, and/or competitive factors;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litigation and regulatory enforcement risks, including the diversion of management time and attention and the additional costs and demands on our resources;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
        <w:gridCol w:w="210"/>
        <w:gridCol w:w="9880"/>
      </w:tblGrid>
      <w:tr>
        <w:trPr/>
        <w:tc>
          <w:tcPr>
            <w:tcW w:w="115" w:type="dxa"/>
            <w:tcBorders/>
            <w:vAlign w:val="center"/>
          </w:tcPr>
          <w:p>
            <w:pPr>
              <w:pStyle w:val="TableContents"/>
              <w:bidi w:val="0"/>
              <w:spacing w:before="0" w:after="283"/>
              <w:jc w:val="left"/>
              <w:rPr/>
            </w:pPr>
            <w:r>
              <w:rPr/>
              <w:t xml:space="preserve">  </w:t>
            </w:r>
          </w:p>
        </w:tc>
        <w:tc>
          <w:tcPr>
            <w:tcW w:w="210" w:type="dxa"/>
            <w:tcBorders/>
            <w:vAlign w:val="center"/>
          </w:tcPr>
          <w:p>
            <w:pPr>
              <w:pStyle w:val="TableContents"/>
              <w:bidi w:val="0"/>
              <w:spacing w:before="0" w:after="283"/>
              <w:jc w:val="left"/>
              <w:rPr/>
            </w:pPr>
            <w:r>
              <w:rPr/>
              <w:t xml:space="preserve">● </w:t>
            </w:r>
          </w:p>
        </w:tc>
        <w:tc>
          <w:tcPr>
            <w:tcW w:w="9880" w:type="dxa"/>
            <w:tcBorders/>
            <w:vAlign w:val="center"/>
          </w:tcPr>
          <w:p>
            <w:pPr>
              <w:pStyle w:val="TableContents"/>
              <w:bidi w:val="0"/>
              <w:spacing w:before="0" w:after="283"/>
              <w:jc w:val="both"/>
              <w:rPr>
                <w:sz w:val="20"/>
              </w:rPr>
            </w:pPr>
            <w:r>
              <w:rPr>
                <w:rFonts w:ascii="Times New Roman;Times;Serif" w:hAnsi="Times New Roman;Times;Serif"/>
                <w:sz w:val="20"/>
              </w:rPr>
              <w:t>the other matters described under “Item 3. Key Information—D. Risk Factors” in our most recent annual report on Form 20-F, as amended, incorporated herein by reference.</w:t>
            </w:r>
            <w:r>
              <w:rPr>
                <w:sz w:val="20"/>
              </w:rPr>
              <w:t xml:space="preserv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is based on independent industry surveys and publications. These data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under the headings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in our then-most recent annual report on Form 20-F, and any updates to those risk factors in our reports on Form 6-K incorporated by reference in this prospectus, together with all of the other information appearing or incorporated by reference in this prospectus.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vii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6" w:name="k_005"/>
      <w:bookmarkEnd w:id="6"/>
      <w:r>
        <w:rPr>
          <w:rFonts w:ascii="Times New Roman;Times;Serif" w:hAnsi="Times New Roman;Times;Serif"/>
          <w:b/>
          <w:i w:val="false"/>
          <w:caps w:val="false"/>
          <w:smallCaps w:val="false"/>
          <w:sz w:val="20"/>
          <w:bdr w:val="single" w:sz="12" w:space="5" w:color="000000"/>
        </w:rPr>
        <w:t>SUMMARY OF THE PROSPECTUS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GCL Global Holdings Ltd, together with the Group Subsidiaries (“</w:t>
      </w:r>
      <w:r>
        <w:rPr>
          <w:rFonts w:ascii="Times New Roman;Times;Serif" w:hAnsi="Times New Roman;Times;Serif"/>
          <w:b/>
          <w:i/>
          <w:caps w:val="false"/>
          <w:smallCaps w:val="false"/>
          <w:sz w:val="20"/>
          <w:bdr w:val="single" w:sz="12" w:space="5" w:color="000000"/>
        </w:rPr>
        <w:t>GCL Group</w:t>
      </w:r>
      <w:r>
        <w:rPr>
          <w:rFonts w:ascii="Times New Roman;Times;Serif" w:hAnsi="Times New Roman;Times;Serif"/>
          <w:b w:val="false"/>
          <w:i w:val="false"/>
          <w:caps w:val="false"/>
          <w:smallCaps w:val="false"/>
          <w:sz w:val="20"/>
          <w:bdr w:val="single" w:sz="12" w:space="5" w:color="000000"/>
        </w:rPr>
        <w:t>”), is a developer, distributor, marketer, and publisher of video games and other entertainment content throughout Asia, Europe, the U.S. and Latin America. It sells and distributes to retailers and consumers in Asia physical and digital copies of video games through physical retailers, such as Sony PlayStation stores in Japan, and online channels in Singapore, Hong Kong, Malaysia, Japan, South Korea, Taiwan, Thailand, Indonesia, the Philippines and other Asian countries. Over 46.3%, 86.8% , and 93.3%, of our total consolidated revenue for the six months ended September 30, 2025, and for the years ended March 31, 2025 and 2024, respectively, was derived from the sale of either games on consoles such as Sony PlayStation, Microsoft Xbox, Nintendo Switch and personal computer (“</w:t>
      </w:r>
      <w:r>
        <w:rPr>
          <w:rFonts w:ascii="Times New Roman;Times;Serif" w:hAnsi="Times New Roman;Times;Serif"/>
          <w:b/>
          <w:i/>
          <w:caps w:val="false"/>
          <w:smallCaps w:val="false"/>
          <w:sz w:val="20"/>
          <w:bdr w:val="single" w:sz="12" w:space="5" w:color="000000"/>
        </w:rPr>
        <w:t>PC</w:t>
      </w:r>
      <w:r>
        <w:rPr>
          <w:rFonts w:ascii="Times New Roman;Times;Serif" w:hAnsi="Times New Roman;Times;Serif"/>
          <w:b w:val="false"/>
          <w:i w:val="false"/>
          <w:caps w:val="false"/>
          <w:smallCaps w:val="false"/>
          <w:sz w:val="20"/>
          <w:bdr w:val="single" w:sz="12" w:space="5" w:color="000000"/>
        </w:rPr>
        <w:t xml:space="preserve">”) to retailers, or game activation keys (the so-called “game codes”) via electronic delivery to retailers or end-users through email or download.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has its own creative media design team with studio facilities to produce marketing and promotional materials adapted to local markets and develop original content as part of its content creation or marketing business. Partnering with international video game publishers and developers, the Company has an established track record of selling and marketing top-tier video game franchises such as </w:t>
      </w:r>
      <w:r>
        <w:rPr>
          <w:rFonts w:ascii="Times New Roman;Times;Serif" w:hAnsi="Times New Roman;Times;Serif"/>
          <w:b w:val="false"/>
          <w:i/>
          <w:caps w:val="false"/>
          <w:smallCaps w:val="false"/>
          <w:sz w:val="20"/>
          <w:bdr w:val="single" w:sz="12" w:space="5" w:color="000000"/>
        </w:rPr>
        <w:t xml:space="preserve">Grand Theft Auto, Red Dead Redemption, Sonic the Hedgehog, Cyberpunk 2077 </w:t>
      </w:r>
      <w:r>
        <w:rPr>
          <w:rFonts w:ascii="Times New Roman;Times;Serif" w:hAnsi="Times New Roman;Times;Serif"/>
          <w:b w:val="false"/>
          <w:i w:val="false"/>
          <w:caps w:val="false"/>
          <w:smallCaps w:val="false"/>
          <w:sz w:val="20"/>
          <w:bdr w:val="single" w:sz="12" w:space="5" w:color="000000"/>
        </w:rPr>
        <w:t xml:space="preserve">and </w:t>
      </w:r>
      <w:r>
        <w:rPr>
          <w:rFonts w:ascii="Times New Roman;Times;Serif" w:hAnsi="Times New Roman;Times;Serif"/>
          <w:b w:val="false"/>
          <w:i/>
          <w:caps w:val="false"/>
          <w:smallCaps w:val="false"/>
          <w:sz w:val="20"/>
          <w:bdr w:val="single" w:sz="12" w:space="5" w:color="000000"/>
        </w:rPr>
        <w:t>Black Myth: Wukong.</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GCL Group leverages its diverse portfolio of digital and physical content to bridge cultures and audiences by introducing Asian-developed IP to a global audience across consoles and PCs. 4Divinity was formed in 2022 as a Group Subsidiary dedicated to games publishing and game development. GCL Group has either published or co-published more than twelve game titles. The Company also has its own production studio and advertising agency, providing media and content advertising services for small and medium-sized enterprises (the “</w:t>
      </w:r>
      <w:r>
        <w:rPr>
          <w:rFonts w:ascii="Times New Roman;Times;Serif" w:hAnsi="Times New Roman;Times;Serif"/>
          <w:b/>
          <w:i/>
          <w:caps w:val="false"/>
          <w:smallCaps w:val="false"/>
          <w:sz w:val="20"/>
          <w:bdr w:val="single" w:sz="12" w:space="5" w:color="000000"/>
        </w:rPr>
        <w:t>SMEs</w:t>
      </w:r>
      <w:r>
        <w:rPr>
          <w:rFonts w:ascii="Times New Roman;Times;Serif" w:hAnsi="Times New Roman;Times;Serif"/>
          <w:b w:val="false"/>
          <w:i w:val="false"/>
          <w:caps w:val="false"/>
          <w:smallCaps w:val="false"/>
          <w:sz w:val="20"/>
          <w:bdr w:val="single" w:sz="12" w:space="5" w:color="000000"/>
        </w:rPr>
        <w:t xml:space="preserve">”) and government agencies.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Mr. Jacky Choo See Wee, our Group Chairman and Chief Executive Officer of Epicsoft Asia and 4Divinity, has over 20 years of video games distribution and retail network management experience in Asia. Under Mr. Choo’s leadership, Epicsoft Asia has become a leading channel distributor for console games, and has forged multi-year deals with international video game publishers and studios such as Sega Corporation (“Sega”), Take-Two Interactive Software UK Limited (“Take-two”), CD Projekt S.A. (“CDPR”)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14.1 million of physical and digital copies of video games during the past three fiscal years. It has distributed in Asia four of the top ten best-selling video games of all time1, three of which it is currently still selling. It is also responsible for bringing to Asia some award-winning all-time favorite video games, such as Hogwarts Legacy, Grand </w:t>
      </w:r>
      <w:r>
        <w:rPr>
          <w:rFonts w:ascii="Times New Roman;Times;Serif" w:hAnsi="Times New Roman;Times;Serif"/>
          <w:b w:val="false"/>
          <w:i/>
          <w:caps w:val="false"/>
          <w:smallCaps w:val="false"/>
          <w:sz w:val="20"/>
          <w:bdr w:val="single" w:sz="12" w:space="5" w:color="000000"/>
        </w:rPr>
        <w:t>Theft Auto IV, Grand Theft Auto V, Red Dead Redemption II, Cyberpunk 2077, The Witcher 3: Wild Hunt,</w:t>
      </w:r>
      <w:r>
        <w:rPr>
          <w:rFonts w:ascii="Times New Roman;Times;Serif" w:hAnsi="Times New Roman;Times;Serif"/>
          <w:b w:val="false"/>
          <w:i w:val="false"/>
          <w:caps w:val="false"/>
          <w:smallCaps w:val="false"/>
          <w:sz w:val="20"/>
          <w:bdr w:val="single" w:sz="12" w:space="5" w:color="000000"/>
        </w:rPr>
        <w:t>  </w:t>
      </w:r>
      <w:r>
        <w:rPr>
          <w:rFonts w:ascii="Times New Roman;Times;Serif" w:hAnsi="Times New Roman;Times;Serif"/>
          <w:b w:val="false"/>
          <w:i/>
          <w:caps w:val="false"/>
          <w:smallCaps w:val="false"/>
          <w:sz w:val="20"/>
          <w:bdr w:val="single" w:sz="12" w:space="5" w:color="000000"/>
        </w:rPr>
        <w:t xml:space="preserve">Elden Ring: Nightreign </w:t>
      </w:r>
      <w:r>
        <w:rPr>
          <w:rFonts w:ascii="Times New Roman;Times;Serif" w:hAnsi="Times New Roman;Times;Serif"/>
          <w:b w:val="false"/>
          <w:i w:val="false"/>
          <w:caps w:val="false"/>
          <w:smallCaps w:val="false"/>
          <w:sz w:val="20"/>
          <w:bdr w:val="single" w:sz="12" w:space="5" w:color="000000"/>
        </w:rPr>
        <w:t xml:space="preserve">and </w:t>
      </w:r>
      <w:r>
        <w:rPr>
          <w:rFonts w:ascii="Times New Roman;Times;Serif" w:hAnsi="Times New Roman;Times;Serif"/>
          <w:b w:val="false"/>
          <w:i/>
          <w:caps w:val="false"/>
          <w:smallCaps w:val="false"/>
          <w:sz w:val="20"/>
          <w:bdr w:val="single" w:sz="12" w:space="5" w:color="000000"/>
        </w:rPr>
        <w:t>Black Myth: Wukong</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2Game is GCL Group’s authorized digital sales platform. It operates as a business-to-business (“</w:t>
      </w:r>
      <w:r>
        <w:rPr>
          <w:rFonts w:ascii="Times New Roman;Times;Serif" w:hAnsi="Times New Roman;Times;Serif"/>
          <w:b/>
          <w:i/>
          <w:caps w:val="false"/>
          <w:smallCaps w:val="false"/>
          <w:sz w:val="20"/>
          <w:bdr w:val="single" w:sz="12" w:space="5" w:color="000000"/>
        </w:rPr>
        <w:t>B2B</w:t>
      </w:r>
      <w:r>
        <w:rPr>
          <w:rFonts w:ascii="Times New Roman;Times;Serif" w:hAnsi="Times New Roman;Times;Serif"/>
          <w:b w:val="false"/>
          <w:i w:val="false"/>
          <w:caps w:val="false"/>
          <w:smallCaps w:val="false"/>
          <w:sz w:val="20"/>
          <w:bdr w:val="single" w:sz="12" w:space="5" w:color="000000"/>
        </w:rPr>
        <w:t>”) and business-to-consumer (“</w:t>
      </w:r>
      <w:r>
        <w:rPr>
          <w:rFonts w:ascii="Times New Roman;Times;Serif" w:hAnsi="Times New Roman;Times;Serif"/>
          <w:b/>
          <w:i/>
          <w:caps w:val="false"/>
          <w:smallCaps w:val="false"/>
          <w:sz w:val="20"/>
          <w:bdr w:val="single" w:sz="12" w:space="5" w:color="000000"/>
        </w:rPr>
        <w:t>B2C</w:t>
      </w:r>
      <w:r>
        <w:rPr>
          <w:rFonts w:ascii="Times New Roman;Times;Serif" w:hAnsi="Times New Roman;Times;Serif"/>
          <w:b w:val="false"/>
          <w:i w:val="false"/>
          <w:caps w:val="false"/>
          <w:smallCaps w:val="false"/>
          <w:sz w:val="20"/>
          <w:bdr w:val="single" w:sz="12" w:space="5" w:color="000000"/>
        </w:rPr>
        <w:t xml:space="preserve">”) digital video game retailer. It sells and distributes game activation keys, the so-called “activation keys” or “game codes” to both resellers and consumers as part of GCL Group’s concerted effort to transition from physical console game compact discs to activation keys and content. </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4Divinity is GCL Group’s publishing arm. Its mission is to develop game IP, invest in upcoming game titles, to publish, or co-publish with international game publishers and content development studios, to introduce new video games and entertainment properties to Asia’s fast-growing market of gamers, and to introduce original Asian-developed video games and entertainment content to the global market.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Titan Digital Media (“</w:t>
      </w:r>
      <w:r>
        <w:rPr>
          <w:rFonts w:ascii="Times New Roman;Times;Serif" w:hAnsi="Times New Roman;Times;Serif"/>
          <w:b/>
          <w:i/>
          <w:caps w:val="false"/>
          <w:smallCaps w:val="false"/>
          <w:sz w:val="20"/>
          <w:bdr w:val="single" w:sz="12" w:space="5" w:color="000000"/>
        </w:rPr>
        <w:t>TDM</w:t>
      </w:r>
      <w:r>
        <w:rPr>
          <w:rFonts w:ascii="Times New Roman;Times;Serif" w:hAnsi="Times New Roman;Times;Serif"/>
          <w:b w:val="false"/>
          <w:i w:val="false"/>
          <w:caps w:val="false"/>
          <w:smallCaps w:val="false"/>
          <w:sz w:val="20"/>
          <w:bdr w:val="single" w:sz="12" w:space="5" w:color="000000"/>
        </w:rPr>
        <w:t>”) is a Group Subsidiary specialized in creating customized and strategic marketing campaigns specific to a brand’s needs. With its in-house strategists, producers, designers, video production and marketing team, TDM is a full-service agency that connects a brand with its target audience to achieve campaign key performance indicators (“</w:t>
      </w:r>
      <w:r>
        <w:rPr>
          <w:rFonts w:ascii="Times New Roman;Times;Serif" w:hAnsi="Times New Roman;Times;Serif"/>
          <w:b/>
          <w:i/>
          <w:caps w:val="false"/>
          <w:smallCaps w:val="false"/>
          <w:sz w:val="20"/>
          <w:bdr w:val="single" w:sz="12" w:space="5" w:color="000000"/>
        </w:rPr>
        <w:t>KPIs</w:t>
      </w:r>
      <w:r>
        <w:rPr>
          <w:rFonts w:ascii="Times New Roman;Times;Serif" w:hAnsi="Times New Roman;Times;Serif"/>
          <w:b w:val="false"/>
          <w:i w:val="false"/>
          <w:caps w:val="false"/>
          <w:smallCaps w:val="false"/>
          <w:sz w:val="20"/>
          <w:bdr w:val="single" w:sz="12" w:space="5" w:color="000000"/>
        </w:rPr>
        <w:t xml:space="preserve">”) and marketing goals. It has a production studio, an advertising agency, and a multi-channel network of talent.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Ban Leong Technologies Pte. Ltd. (“</w:t>
      </w:r>
      <w:r>
        <w:rPr>
          <w:rFonts w:ascii="Times New Roman;Times;Serif" w:hAnsi="Times New Roman;Times;Serif"/>
          <w:b/>
          <w:i/>
          <w:caps w:val="false"/>
          <w:smallCaps w:val="false"/>
          <w:sz w:val="20"/>
          <w:bdr w:val="single" w:sz="12" w:space="5" w:color="000000"/>
        </w:rPr>
        <w:t>Ban Leong</w:t>
      </w:r>
      <w:r>
        <w:rPr>
          <w:rFonts w:ascii="Times New Roman;Times;Serif" w:hAnsi="Times New Roman;Times;Serif"/>
          <w:b w:val="false"/>
          <w:i w:val="false"/>
          <w:caps w:val="false"/>
          <w:smallCaps w:val="false"/>
          <w:sz w:val="20"/>
          <w:bdr w:val="single" w:sz="12" w:space="5" w:color="000000"/>
        </w:rPr>
        <w:t xml:space="preserve">”) is an indirect wholly-owned subsidiary of the Company, principally engaged in the wholesale and distribution of computer peripherals, accessories and other multimedia products, with operations across Singapore, Malaysia, and Thailand.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GCL Group is headquartered in Singapore, with subsidiaries in Malaysia, Hong Kong, Thailand, China, Japan, Taiwan, Brazil, the United Kingdom and the United Arab Emirates.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Resale by Selling Shareholders pursuant to this prospectus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relates to the resale from time to time by the Selling Shareholders of (a) up to 83,456,793 Ordinary Shares, which consist of (i) 80,581,793 Ordinary Shares issued to Epicsoft Ventures in connection with the Business Combination at an implied purchase price of $10.00 per share; and (ii) 2,875,000 Ordinary Shares issued to the Sponsor, which were originally purchased by the Sponsor at approximately $0.009 per share; (b) 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 (c) up to 549,500 Ordinary Shares issuable upon the exercise of 549,500 Warrants, which were originally issued concurrently with the initial public offering of RFAC in a private placement to EBC at a price of $1.00 per warrant, with each Warrant exercisable for one Ordinary Share at $11.50 per share.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For so long as the effective registration statement of which this prospectus forms a part is available for use, Epicsoft Ventures and the Sponsor, collectively the beneficial owners of 83,456,793 Ordinary Shares, constituting approximately 65.2% of our outstanding Ordinary Shares as of the date of this prospectus, can sell under this prospectus (assuming all Warrants are exercised in full), up to 87,907,293 Ordinary Shares constituting approximately 68.7% of the outstanding Ordinary Shares as of the date of this prospectus. Given the substantial number of Ordinary Shares being registered for potential resale by the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 </w:t>
      </w:r>
    </w:p>
    <w:p>
      <w:pPr>
        <w:pStyle w:val="TextBody"/>
        <w:bidi w:val="0"/>
        <w:ind w:left="0" w:right="0" w:firstLine="360"/>
        <w:jc w:val="left"/>
        <w:rPr>
          <w:bdr w:val="single" w:sz="12" w:space="5" w:color="000000"/>
        </w:rPr>
      </w:pPr>
      <w:r>
        <w:rPr>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Sales of a substantial number of Ordinary Shares in the public market by the Selling Shareholders and/or by our other existing shareholders, or the perception that those sales might occur, could result in a significant decline in the public trading price of our Ordinary Shares and could impair our ability to raise capital through the sale of additional equity securities. Because the prices at which certain Selling Shareholders acquired the securities that they may sell pursuant to this prospectus may be lower than that of our public shareholders, certain Selling Shareholders may still experience a positive rate of return on the securities that they sell pursuant to this prospectus, and be incentivized to sell such shares, when our public shareholders may not experience a similar rate of return. Based on the closing price of our Ordinary Shares of $0.47 as of May 12, 2026, the Sponsor (with respect to the Sponsor Founder shares) may experience potential profit of up to $0.46 per share, or an aggregate amount of profit of up to approximately $1.3 million. Accordingly, such Selling Shareholders may have an incentive to sell their securities even if the trading price is lower than the price at which our public shareholders purchased their securities. In connection with the initial public offering of RFAC, RFAC’s initial public shareholders acquired RFAC Public Units at a price of $10.00 per unit, each of which comprises one share of RFAC Common Stock, one RFAC Warrant and one RFAC Right, and trading price of our Ordinary Shares have fluctuated, and may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 See “</w:t>
      </w:r>
      <w:r>
        <w:rPr>
          <w:rFonts w:ascii="Times New Roman;Times;Serif" w:hAnsi="Times New Roman;Times;Serif"/>
          <w:b w:val="false"/>
          <w:i/>
          <w:caps w:val="false"/>
          <w:smallCaps w:val="false"/>
          <w:sz w:val="20"/>
          <w:bdr w:val="single" w:sz="12" w:space="5" w:color="000000"/>
        </w:rPr>
        <w:t>Risk Factors - Sales of a substantial number of our securities in the public market by our existing shareholders could cause the price of our Ordinary Shares and Warrants to fall, and certain Selling Shareholders can earn a positive rate of return on their investment, even if other shareholders experience a negative rate of return.</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Completion of Business Combination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13, 2025, we consummated the previously announced business combination with RFAC, pursuant to the Merger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the Closing Date, pursuant to the Merger Agreement, (a) Merger Sub 1 merged with and into GCL Global, with GCL Global continuing as the surviving entity in the merger, as a result of which: (i) GCL Global became a wholly-owned subsidiary of the Company and (ii) each issued and outstanding share of GCL Global immediately prior to the consummation of the Merger was automatically cancelled, in exchange for the right of the holder thereof to receive such number of newly issued shares of the Company specified below; and (b) Merger Sub 2 merged with and into RFAC, with RFAC surviving such merger as a wholly owned subsidiary of the Company. As a result of the Transactions, RFAC and GCL Global each became a wholly-owned subsidiary of the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Immediately prior to the consummation of the Business Combination, all outstanding RFAC Units (each of which consisted of (i) one share of RFAC Class A Common Stock, (ii) one RFAC Public Warrant, and (iii) one RFAC Public Right) automatically separated into their individual components of RFAC Class A Common Stock, RFAC Public Warrants and RFAC Public Rights and such units ceased separate existence and trading. Upon the consummation of the Business Combination, the equity holdings of the RFAC stockholders were exchanged as follows:</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share of RFAC Common Stock, including RFAC Class A Common Stock and RFAC Class B Common Stock, issued and outstanding immediately prior to the effective time of the Business Combination (other than any redeemed shares) was automatically cancelled and ceased to exist and, for each share of RFAC Common Stock, the Company issued to each RFAC shareholder (other than RFAC shareholders who exercised their redemption rights in connection with the Business Combination) one validly issued Ordinary Share;</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RFAC Warrant issued and outstanding immediately prior to effective time of the Business Combination converted into a warrant to purchase one Ordinary Share (or equivalent portion thereof). The Warrants have substantially the same terms and conditions as set forth in the RFAC Warrants, except that the Warrants are exercisable for Ordinary Shares rather than RFAC Common Stock;</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every 10 RFAC Rights issued and outstanding immediately prior to the effective time of the Business Combination converted into one Ordinary Share of the Company (rounded down to the nearest whole share); and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share of capital stock of Merger Sub 2 that was issued and outstanding immediately prior to the effective time of the SPAC Merger were converted into an equal number of shares of Class A common stock of RFAC, par value $0.0001 per share.</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the effective time of the Initial Merger, pursuant to the Initial Merger: (1) each ordinary share of GCL Global that was issued and outstanding immediately prior to the effective time of the Initial Merger (other than any treasury shares or dissenting shares), was cancelled and ceased to exist in exchange for such number of newly issued Ordinary Shares equal to the Company Exchange Ratio, rounded up to the nearest whole share, and as of the Initial Merger Effective Time, each GCL Global shareholder ceased to have any other rights in and to GCL Global (other than any applicable appraisal and dissenter’s rights); (2) if there were any ordinary shares of GCL Global owned by the GCL Global as treasury shares or any ordinary shares of GCL Global owned by any direct or indirect subsidiary of GCL Global immediately prior to the effective time of the Initial Merger, such shares were canceled and ceased to exist without any conversion thereof or payment therefor; (3) each of the dissenting shares issued and outstanding immediately prior to the effective time of the Initial Merger was canceled and ceased to exist in accordance with Section 2.7(a) of the Merger Agreement and thereafter represented only the right to receive the applicable payments set forth in Section 2.7(a) of the Merger Agreement; and (4) each share of Merger Sub 1 that was issued and outstanding immediately prior to the effective time of the Initial Merger was converted into an equal number and class of shares of GCL Global, which shares constituted the only issued and outstanding shares of GCL Global.</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14, 2025, our Ordinary Shares and Warrants commenced trading on Nasdaq, under the symbols “GCL” and “GCLWW,” respectively.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Corporate Information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exempted company incorporated in the Cayman Islands with limited liability. Our principal executive office is located at 29 Tai Seng Avenue #02-01, Natural Cool Lifestyle Hub, Singapore 534119. Our telephone number is +65 80427330. Our website is www.gclglobalholdings.com.</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SEC maintains a website at www.sec.gov which contains in electronic form each of the reports and other information that we have filed electronically with the SEC.</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agent for service of process in the United States is Cogency Global Inc., 122 East 42</w:t>
      </w:r>
      <w:r>
        <w:rPr>
          <w:rFonts w:ascii="Times New Roman;Times;Serif" w:hAnsi="Times New Roman;Times;Serif"/>
          <w:b w:val="false"/>
          <w:i w:val="false"/>
          <w:caps w:val="false"/>
          <w:smallCaps w:val="false"/>
          <w:position w:val="7"/>
          <w:sz w:val="16"/>
          <w:sz w:val="20"/>
          <w:bdr w:val="single" w:sz="12" w:space="5" w:color="000000"/>
        </w:rPr>
        <w:t>nd</w:t>
      </w:r>
      <w:r>
        <w:rPr>
          <w:rFonts w:ascii="Times New Roman;Times;Serif" w:hAnsi="Times New Roman;Times;Serif"/>
          <w:b w:val="false"/>
          <w:i w:val="false"/>
          <w:caps w:val="false"/>
          <w:smallCaps w:val="false"/>
          <w:sz w:val="20"/>
          <w:bdr w:val="single" w:sz="12" w:space="5" w:color="000000"/>
        </w:rPr>
        <w:t xml:space="preserve"> Street, 18</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Floor, New York, New York 10168.</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Organizational Structure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chart illustrates the current corporate structure of GCL:</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934075" cy="6543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34075" cy="6543675"/>
                    </a:xfrm>
                    <a:prstGeom prst="rect">
                      <a:avLst/>
                    </a:prstGeom>
                  </pic:spPr>
                </pic:pic>
              </a:graphicData>
            </a:graphic>
          </wp:inline>
        </w:drawing>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Names of entities abbreviated in chart: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9185" w:type="dxa"/>
        <w:jc w:val="left"/>
        <w:tblInd w:w="0" w:type="dxa"/>
        <w:tblLayout w:type="fixed"/>
        <w:tblCellMar>
          <w:top w:w="0" w:type="dxa"/>
          <w:left w:w="0" w:type="dxa"/>
          <w:bottom w:w="28" w:type="dxa"/>
          <w:right w:w="0" w:type="dxa"/>
        </w:tblCellMar>
      </w:tblPr>
      <w:tblGrid>
        <w:gridCol w:w="1880"/>
        <w:gridCol w:w="120"/>
        <w:gridCol w:w="1955"/>
        <w:gridCol w:w="120"/>
        <w:gridCol w:w="2135"/>
        <w:gridCol w:w="120"/>
        <w:gridCol w:w="2855"/>
      </w:tblGrid>
      <w:tr>
        <w:trPr/>
        <w:tc>
          <w:tcPr>
            <w:tcW w:w="18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Abbreviated Name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9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Company Full Name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213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Abbreviated Name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28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Company Full Name</w:t>
            </w:r>
            <w:r>
              <w:rPr/>
              <w:t xml:space="preserve"> </w:t>
            </w:r>
          </w:p>
        </w:tc>
      </w:tr>
      <w:tr>
        <w:trPr/>
        <w:tc>
          <w:tcPr>
            <w:tcW w:w="188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2Game Digital</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9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2Game Digital Limited</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13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Epicsoft Hong Kong</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8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Epicsoft (Hong Kong) Limited</w:t>
            </w:r>
            <w:r>
              <w:rPr/>
              <w:t xml:space="preserve"> </w:t>
            </w:r>
          </w:p>
        </w:tc>
      </w:tr>
      <w:tr>
        <w:trPr/>
        <w:tc>
          <w:tcPr>
            <w:tcW w:w="188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2Game Brazil</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9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2 Game Pro Ltda.</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13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Epicsoft Malaysia</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8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Epicsoft Malaysia Sdn. Bhd.</w:t>
            </w:r>
            <w:r>
              <w:rPr/>
              <w:t xml:space="preserve"> </w:t>
            </w:r>
          </w:p>
        </w:tc>
      </w:tr>
      <w:tr>
        <w:trPr/>
        <w:tc>
          <w:tcPr>
            <w:tcW w:w="188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2Game Dubai</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9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2Game Digital DMCC</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13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GCL Global SG</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8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GCL Global Pte. Ltd.</w:t>
            </w:r>
            <w:r>
              <w:rPr/>
              <w:t xml:space="preserve"> </w:t>
            </w:r>
          </w:p>
        </w:tc>
      </w:tr>
      <w:tr>
        <w:trPr/>
        <w:tc>
          <w:tcPr>
            <w:tcW w:w="188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4Divinity</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9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4Divinity Pte. Ltd.</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13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GCL Taiwan</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8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GCL Taiwan Co, Ltd.</w:t>
            </w:r>
            <w:r>
              <w:rPr/>
              <w:t xml:space="preserve"> </w:t>
            </w:r>
          </w:p>
        </w:tc>
      </w:tr>
      <w:tr>
        <w:trPr/>
        <w:tc>
          <w:tcPr>
            <w:tcW w:w="188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4Divinity Hong Kong</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4Divinity HK Ltd.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13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Hainan GCL Technology</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8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Hainan GCL Technology Co. Ltd.</w:t>
            </w:r>
            <w:r>
              <w:rPr/>
              <w:t xml:space="preserve"> </w:t>
            </w:r>
          </w:p>
        </w:tc>
      </w:tr>
      <w:tr>
        <w:trPr/>
        <w:tc>
          <w:tcPr>
            <w:tcW w:w="188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4Divinity UK</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9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4Divinity UK Ltd.</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13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Martiangear</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8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Martiangear Pte. Ltd.</w:t>
            </w:r>
            <w:r>
              <w:rPr/>
              <w:t xml:space="preserve"> </w:t>
            </w:r>
          </w:p>
        </w:tc>
      </w:tr>
      <w:tr>
        <w:trPr/>
        <w:tc>
          <w:tcPr>
            <w:tcW w:w="188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4Divinity JP</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9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4Divinity Japan Ltd.</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13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Starry Jewelry</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8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Starry Jewelry Pte. Ltd.</w:t>
            </w:r>
            <w:r>
              <w:rPr/>
              <w:t xml:space="preserve"> </w:t>
            </w:r>
          </w:p>
        </w:tc>
      </w:tr>
      <w:tr>
        <w:trPr/>
        <w:tc>
          <w:tcPr>
            <w:tcW w:w="188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Digital Hub</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9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Digital Hub Pte. Ltd.</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13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Titan Digital Media</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85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Titan Digital Media Pte. Ltd.</w:t>
            </w:r>
            <w:r>
              <w:rPr/>
              <w:t xml:space="preserve"> </w:t>
            </w:r>
          </w:p>
        </w:tc>
      </w:tr>
      <w:tr>
        <w:trPr/>
        <w:tc>
          <w:tcPr>
            <w:tcW w:w="188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Epicsoft Asia</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95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Epicsoft Asia Pte. Ltd.</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135"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855" w:type="dxa"/>
            <w:tcBorders/>
            <w:shd w:fill="FFFF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Summary of Risk Factors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An investment in our Ordinary Shares and Warrants involves significant risks. Before making an investment decision., you should carefully consider the risk factors described in this prospectus under “Risk Factors” as well as those contained in our most recent annual report on Form 20-F, and any updates to those risks in our reports on Form 6-K, in each case incorporated by reference herein, together with all of the other information appearing or incorporated by reference herein. Additional risks not presently known to us or that we currently deem immaterial may also impair our business operations. Our business, financial condition, results of operations or prospects could be materially and adversely affected by any of these risks.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the Company’s Business and Industry</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business will suffer if we are unable to distribute and publish new game titles, “hit” game titles or sequels to such “hit” titles.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acquire and maintain licenses to intellectual property through distribution agreements with game publishers may affect our revenue and profitability.</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increasing importance of digital content delivery exposes us to the risks of that business model, including greater competition from online and mobile games.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success depends on Jacky Choo See Wee, our Group Chairman and CEO of Epicsoft Asia, and our senior management team. Loss of Mr. Choo’s leadership or services from any of our senior management team could have a material adverse effect on our business, financial condition and results of operations.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limited number of customers account for a significant portion of our sales. The loss of a principal customer or other significant business relationship could seriously hurt our business.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competition for limited shelf space and promotional support from retailers could affect the success of our business and require us to incur greater expenses to market our titles.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publishing business is partly dependent on our ability to enter into successful software development arrangements with third parties.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we do not successfully invest in, establish and maintain awareness of our brands and games, or if we incur excessive expenses promoting and maintaining our brands or our games, our business, financial condition, results of operations, or reputation could be harmed.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video game industry is very competitive. If consumers prefer our competitors’ games over the ones we distribute or develop, our operating results could suffer.</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intend to grow our business through strategic acquisitions, investments, and joint ventures that involve numerous risks and uncertainties.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the Company’s International Operations, Legal and Regulatory Matters</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business is subject to numerous legal and regulatory risks that could have an adverse impact on our business and prospects.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international operations are, and our strategy to expand internationally will be, subject to increased challenges and risks.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failure by us or our vendors to comply with applicable anti-money laundering or other related laws and regulations could damage its business, reputation, financial condition, and results of operation, or subject it to other risks.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subject to risks associated with operating and investing in Asia.</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revenue and net income may be materially and adversely affected by any economic slowdown or developments in the social, political, regulatory and economic environments in Asia as well as globally.</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Uncertainties with respect to the legal system in certain markets in Southeast Asia could adversely affect GCL Companies.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could face uncertain tax liabilities in various jurisdictions where we operate, and suffer adverse financial consequences as a result.</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Companies and governmental agencies may restrict access to platforms, our website or the Internet generally, which could lead to the loss or slower growth of our gamer base.</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the Company Operating in China</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uncertainties and quick change of the legal system in China with little advance notice could limit the legal protections available or impose additional requirements and obligations on our business operation in China and Hong Kong, which may materially and adversely affect our business, financial condition, and results of operations.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gaming industry in China is subject to a variety of PRC laws and regulations, many of which are unsettled and still developing, and which could subject us or our resellers to claims or otherwise harm our business, financial condition, results of operations and growth prospects.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lack of requisite approvals, licenses, or permits applicable to our resellers’ business may have a material and adverse impact on our resellers’ business, financial condition, and results of operations.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PubCo Operating as a Public Company</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GCL Group’s management team has limited experience managing a public company.</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PubCo fails to implement and maintain an effective system of internal controls, PubCo may be unable to accurately report its results of operations, meets its reporting obligations or prevent fraud, and investor confidence and the market price of PubCo’s Ordinary Shares may be materially and adversely affected.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PubCo ceases to qualify as a foreign private issuer, it would be required to comply fully with the reporting requirements of the Exchange Act applicable to U.S. domestic issuers, and it would incur significant additional legal, accounting, and other expenses that it would not incur as a foreign private issuer.</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Because PubCo is a foreign private issuer and is exempt from certain Nasdaq corporate governance standards applicable to U.S. issuers, you will have less protection than you would have if it were a domestic issuer.</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may face difficulties in protecting your interests, and your ability to protect your rights through U.S. courts may be limited, because PubCo is incorporated under Cayman Islands law.</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a “controlled company” under the Nasdaq rules, PubCo may choose to exempt itself from certain corporate governance requirements that could have an adverse effect on our public shareholders.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54"/>
        <w:gridCol w:w="241"/>
        <w:gridCol w:w="9910"/>
      </w:tblGrid>
      <w:tr>
        <w:trPr/>
        <w:tc>
          <w:tcPr>
            <w:tcW w:w="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PubCo does not expect to declare any dividends in the foreseeable future.</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to maintain effective internal controls over financial reporting could have a material adverse effect on PubCo’s business, operating results and stock price.</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Our Securities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Risks and uncertainties relating to our securities include, but are not limited to, the following:</w:t>
      </w:r>
    </w:p>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uncertainty in the development of an active trading market for our shares;</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price volatility of our shares;</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 or availability for sale of substantial amounts of our shares by the Selling Shareholders that could cause the price of our shares to fall, and certain Selling Shareholders can earn a positive rate of return on their investment, even if other shareholders experience a negative return;</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potential additional dilution resulted from the exercise of warrants;</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 may expire worthless, as they may never be in the money;</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8328" w:type="dxa"/>
        <w:jc w:val="left"/>
        <w:tblInd w:w="0" w:type="dxa"/>
        <w:tblLayout w:type="fixed"/>
        <w:tblCellMar>
          <w:top w:w="0" w:type="dxa"/>
          <w:left w:w="0" w:type="dxa"/>
          <w:bottom w:w="0" w:type="dxa"/>
          <w:right w:w="0" w:type="dxa"/>
        </w:tblCellMar>
      </w:tblPr>
      <w:tblGrid>
        <w:gridCol w:w="38"/>
        <w:gridCol w:w="17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potential dilution for existing shareholders upon our issuance of additional shares; and</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ability to maintain the listing of our securities on Nasdaq in the future.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7" w:name="k_006"/>
      <w:bookmarkEnd w:id="7"/>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summary below describes the principal terms of the offering. The “Description of Securities” section of this prospectus contains a more detailed description of the ordinary shares of the Company. Any investment in the securities offered hereby is speculative and involves a high degree of risk. You should carefully consider the information set forth under “Risk Factors” of this prospectus as well as those contained in our most recent annual report on Form 20-F, as amended, and any updates to those risks in our reports on Form 6-K, in each case incorporated by reference herein, together with all of the other information appearing or incorporated by reference herein.</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24"/>
        <w:gridCol w:w="65"/>
        <w:gridCol w:w="8716"/>
      </w:tblGrid>
      <w:tr>
        <w:trPr/>
        <w:tc>
          <w:tcPr>
            <w:tcW w:w="1424"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Issuer</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GCL Global Holdings Ltd</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Issuance of Ordinary Shares</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Ordinary Shares to be issued by us</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Up to 16,500,000 Ordinary Shares issuable upon the exercise of 16,500,000 Warrants</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pPr>
            <w:r>
              <w:rPr>
                <w:rFonts w:ascii="Times New Roman;Times;Serif" w:hAnsi="Times New Roman;Times;Serif"/>
                <w:i/>
                <w:sz w:val="20"/>
              </w:rPr>
              <w:t>Ordinary Shares issued prior to exercise of all Warrants*</w:t>
            </w:r>
            <w:r>
              <w:rPr/>
              <w:t xml:space="preserve"> </w:t>
            </w:r>
          </w:p>
        </w:tc>
        <w:tc>
          <w:tcPr>
            <w:tcW w:w="65" w:type="dxa"/>
            <w:tcBorders/>
            <w:vAlign w:val="center"/>
          </w:tcPr>
          <w:p>
            <w:pPr>
              <w:pStyle w:val="TableContents"/>
              <w:bidi w:val="0"/>
              <w:spacing w:before="0" w:after="283"/>
              <w:jc w:val="both"/>
              <w:rPr/>
            </w:pPr>
            <w:r>
              <w:rPr/>
              <w:t xml:space="preserve">  </w:t>
            </w:r>
          </w:p>
        </w:tc>
        <w:tc>
          <w:tcPr>
            <w:tcW w:w="8716" w:type="dxa"/>
            <w:tcBorders/>
            <w:vAlign w:val="center"/>
          </w:tcPr>
          <w:p>
            <w:pPr>
              <w:pStyle w:val="TableContents"/>
              <w:bidi w:val="0"/>
              <w:spacing w:before="0" w:after="283"/>
              <w:ind w:left="0" w:right="0" w:hanging="180"/>
              <w:jc w:val="left"/>
              <w:rPr/>
            </w:pPr>
            <w:r>
              <w:rPr>
                <w:rFonts w:ascii="Times New Roman;Times;Serif" w:hAnsi="Times New Roman;Times;Serif"/>
                <w:sz w:val="20"/>
              </w:rPr>
              <w:t>130,135,432</w:t>
            </w:r>
            <w:r>
              <w:rPr/>
              <w:t xml:space="preserve"> </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Ordinary Shares issued assuming exercise of all Warrants* </w:t>
            </w:r>
          </w:p>
        </w:tc>
        <w:tc>
          <w:tcPr>
            <w:tcW w:w="65" w:type="dxa"/>
            <w:tcBorders/>
            <w:vAlign w:val="center"/>
          </w:tcPr>
          <w:p>
            <w:pPr>
              <w:pStyle w:val="TableContents"/>
              <w:bidi w:val="0"/>
              <w:spacing w:before="0" w:after="283"/>
              <w:jc w:val="both"/>
              <w:rPr/>
            </w:pPr>
            <w:r>
              <w:rPr/>
              <w:t xml:space="preserve">  </w:t>
            </w:r>
          </w:p>
        </w:tc>
        <w:tc>
          <w:tcPr>
            <w:tcW w:w="8716" w:type="dxa"/>
            <w:tcBorders/>
            <w:vAlign w:val="center"/>
          </w:tcPr>
          <w:p>
            <w:pPr>
              <w:pStyle w:val="TableContents"/>
              <w:bidi w:val="0"/>
              <w:spacing w:before="0" w:after="283"/>
              <w:ind w:left="0" w:right="0" w:hanging="180"/>
              <w:jc w:val="left"/>
              <w:rPr/>
            </w:pPr>
            <w:r>
              <w:rPr>
                <w:rFonts w:ascii="Times New Roman;Times;Serif" w:hAnsi="Times New Roman;Times;Serif"/>
                <w:sz w:val="20"/>
              </w:rPr>
              <w:t>146,635,432</w:t>
            </w:r>
            <w:r>
              <w:rPr/>
              <w:t xml:space="preserve"> </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pPr>
            <w:r>
              <w:rPr>
                <w:rFonts w:ascii="Times New Roman;Times;Serif" w:hAnsi="Times New Roman;Times;Serif"/>
                <w:i/>
                <w:sz w:val="20"/>
              </w:rPr>
              <w:t>Ordinary Shares outstanding prior to exercise of all Warrants*</w:t>
            </w:r>
            <w:r>
              <w:rPr/>
              <w:t xml:space="preserve"> </w:t>
            </w:r>
          </w:p>
        </w:tc>
        <w:tc>
          <w:tcPr>
            <w:tcW w:w="65" w:type="dxa"/>
            <w:tcBorders/>
            <w:vAlign w:val="center"/>
          </w:tcPr>
          <w:p>
            <w:pPr>
              <w:pStyle w:val="TableContents"/>
              <w:bidi w:val="0"/>
              <w:spacing w:before="0" w:after="283"/>
              <w:jc w:val="both"/>
              <w:rPr/>
            </w:pPr>
            <w:r>
              <w:rPr/>
              <w:t xml:space="preserve">  </w:t>
            </w:r>
          </w:p>
        </w:tc>
        <w:tc>
          <w:tcPr>
            <w:tcW w:w="8716" w:type="dxa"/>
            <w:tcBorders/>
            <w:vAlign w:val="center"/>
          </w:tcPr>
          <w:p>
            <w:pPr>
              <w:pStyle w:val="TableContents"/>
              <w:bidi w:val="0"/>
              <w:spacing w:before="0" w:after="283"/>
              <w:ind w:left="0" w:right="0" w:hanging="180"/>
              <w:jc w:val="both"/>
              <w:rPr/>
            </w:pPr>
            <w:r>
              <w:rPr>
                <w:rFonts w:ascii="Times New Roman;Times;Serif" w:hAnsi="Times New Roman;Times;Serif"/>
                <w:sz w:val="20"/>
              </w:rPr>
              <w:t>128,008,703 Ordinary Shares (as of the date of this prospectus)</w:t>
            </w:r>
            <w:r>
              <w:rPr/>
              <w:t xml:space="preserve"> </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pPr>
            <w:r>
              <w:rPr>
                <w:rFonts w:ascii="Times New Roman;Times;Serif" w:hAnsi="Times New Roman;Times;Serif"/>
                <w:i/>
                <w:sz w:val="20"/>
              </w:rPr>
              <w:t>Ordinary Shares outstanding assuming exercise of all Warrants*</w:t>
            </w:r>
            <w:r>
              <w:rPr/>
              <w:t xml:space="preserve"> </w:t>
            </w:r>
          </w:p>
        </w:tc>
        <w:tc>
          <w:tcPr>
            <w:tcW w:w="65" w:type="dxa"/>
            <w:tcBorders/>
            <w:vAlign w:val="center"/>
          </w:tcPr>
          <w:p>
            <w:pPr>
              <w:pStyle w:val="TableContents"/>
              <w:bidi w:val="0"/>
              <w:spacing w:before="0" w:after="283"/>
              <w:jc w:val="both"/>
              <w:rPr/>
            </w:pPr>
            <w:r>
              <w:rPr/>
              <w:t xml:space="preserve">  </w:t>
            </w:r>
          </w:p>
        </w:tc>
        <w:tc>
          <w:tcPr>
            <w:tcW w:w="8716" w:type="dxa"/>
            <w:tcBorders/>
            <w:vAlign w:val="center"/>
          </w:tcPr>
          <w:p>
            <w:pPr>
              <w:pStyle w:val="TableContents"/>
              <w:bidi w:val="0"/>
              <w:spacing w:before="0" w:after="283"/>
              <w:ind w:left="0" w:right="0" w:hanging="180"/>
              <w:jc w:val="both"/>
              <w:rPr/>
            </w:pPr>
            <w:r>
              <w:rPr>
                <w:rFonts w:ascii="Times New Roman;Times;Serif" w:hAnsi="Times New Roman;Times;Serif"/>
                <w:sz w:val="20"/>
              </w:rPr>
              <w:t>144,508,703 Ordinary Shares, based on total shares outstanding as of the date of this prospectus</w:t>
            </w:r>
            <w:r>
              <w:rPr/>
              <w:t xml:space="preserve"> </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Exercise Price of Warrants</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Warrant entitles the holder to one Ordinary Share at a price of $11.50 per share, subject to adjustment, terms and limitations as described in the Warrant Agreement, as amended by the Assignment, Assumption and Amendment Agreement, dated February 13, 2025, by and among RFAC, the Company and Continental Stock Transfer and Trust Company (the “Amended Warrant Agreement”).</w:t>
            </w:r>
          </w:p>
        </w:tc>
      </w:tr>
      <w:tr>
        <w:trPr/>
        <w:tc>
          <w:tcPr>
            <w:tcW w:w="14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both"/>
              <w:rPr/>
            </w:pPr>
            <w:r>
              <w:rPr/>
              <w:t> </w:t>
            </w:r>
          </w:p>
        </w:tc>
        <w:tc>
          <w:tcPr>
            <w:tcW w:w="8716" w:type="dxa"/>
            <w:tcBorders/>
            <w:vAlign w:val="center"/>
          </w:tcPr>
          <w:p>
            <w:pPr>
              <w:pStyle w:val="TableContents"/>
              <w:bidi w:val="0"/>
              <w:spacing w:before="0" w:after="283"/>
              <w:ind w:left="0" w:right="0" w:hanging="180"/>
              <w:jc w:val="left"/>
              <w:rPr/>
            </w:pPr>
            <w:r>
              <w:rPr/>
              <w:t> </w:t>
            </w:r>
          </w:p>
        </w:tc>
      </w:tr>
      <w:tr>
        <w:trPr/>
        <w:tc>
          <w:tcPr>
            <w:tcW w:w="1424" w:type="dxa"/>
            <w:tcBorders/>
            <w:vAlign w:val="center"/>
          </w:tcPr>
          <w:p>
            <w:pPr>
              <w:pStyle w:val="TableContents"/>
              <w:bidi w:val="0"/>
              <w:spacing w:before="0" w:after="283"/>
              <w:jc w:val="left"/>
              <w:rPr/>
            </w:pPr>
            <w:r>
              <w:rPr>
                <w:rFonts w:ascii="Times New Roman;Times;Serif" w:hAnsi="Times New Roman;Times;Serif"/>
                <w:i/>
                <w:sz w:val="20"/>
              </w:rPr>
              <w:t>Use of Proceeds</w:t>
            </w:r>
            <w:r>
              <w:rPr/>
              <w:t xml:space="preserve"> </w:t>
            </w:r>
          </w:p>
        </w:tc>
        <w:tc>
          <w:tcPr>
            <w:tcW w:w="65" w:type="dxa"/>
            <w:tcBorders/>
            <w:vAlign w:val="center"/>
          </w:tcPr>
          <w:p>
            <w:pPr>
              <w:pStyle w:val="TableContents"/>
              <w:bidi w:val="0"/>
              <w:spacing w:before="0" w:after="283"/>
              <w:jc w:val="both"/>
              <w:rPr/>
            </w:pPr>
            <w:r>
              <w:rPr/>
              <w:t xml:space="preserve">  </w:t>
            </w:r>
          </w:p>
        </w:tc>
        <w:tc>
          <w:tcPr>
            <w:tcW w:w="8716" w:type="dxa"/>
            <w:tcBorders/>
            <w:vAlign w:val="center"/>
          </w:tcPr>
          <w:p>
            <w:pPr>
              <w:pStyle w:val="TableContents"/>
              <w:bidi w:val="0"/>
              <w:spacing w:before="0" w:after="283"/>
              <w:jc w:val="both"/>
              <w:rPr/>
            </w:pPr>
            <w:r>
              <w:rPr>
                <w:rFonts w:ascii="Times New Roman;Times;Serif" w:hAnsi="Times New Roman;Times;Serif"/>
                <w:sz w:val="20"/>
              </w:rPr>
              <w:t>We will receive up to an aggregate of $189.75 million from the exercise of Warrants, assuming the exercise in full of all of Warrants for cash. We expect to use the net proceeds from the exercise of these securities, if any, for general corporate purposes. See “</w:t>
            </w:r>
            <w:r>
              <w:rPr>
                <w:rFonts w:ascii="Times New Roman;Times;Serif" w:hAnsi="Times New Roman;Times;Serif"/>
                <w:i/>
                <w:sz w:val="20"/>
              </w:rPr>
              <w:t>Use of Proceeds</w:t>
            </w:r>
            <w:r>
              <w:rPr>
                <w:rFonts w:ascii="Times New Roman;Times;Serif" w:hAnsi="Times New Roman;Times;Serif"/>
                <w:sz w:val="20"/>
              </w:rPr>
              <w:t>.” However, we do not expect to rely on the cash exercise of the Warrants to fund our operations. Instead, we intend to rely on our primary sources of cash discussed elsewhere in this prospectus to continue to support our operations. The exercise price of the Warrants is $11.50 per share. The likelihood that Warrant holders will exercise their Warrants, and therefore the amount of cash proceeds that we would receive, are dependent upon the trading price of our Ordinary Shares. If the trading price for our Ordinary Shares is less than $11.50 per share, we believe holders of our Warrants will be unlikely to exercise their Warrants. As the closing price of our Ordinary Shares was $0.47 as of May 12, 2026, we believe that holders of the Warrants are currently unlikely to exercise their Warrants.</w:t>
            </w:r>
            <w:r>
              <w:rPr/>
              <w:t xml:space="preserve"> </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9400" w:type="dxa"/>
        <w:jc w:val="left"/>
        <w:tblInd w:w="0" w:type="dxa"/>
        <w:tblLayout w:type="fixed"/>
        <w:tblCellMar>
          <w:top w:w="0" w:type="dxa"/>
          <w:left w:w="0" w:type="dxa"/>
          <w:bottom w:w="0" w:type="dxa"/>
          <w:right w:w="0" w:type="dxa"/>
        </w:tblCellMar>
      </w:tblPr>
      <w:tblGrid>
        <w:gridCol w:w="215"/>
        <w:gridCol w:w="9185"/>
      </w:tblGrid>
      <w:tr>
        <w:trPr/>
        <w:tc>
          <w:tcPr>
            <w:tcW w:w="215" w:type="dxa"/>
            <w:tcBorders/>
            <w:vAlign w:val="center"/>
          </w:tcPr>
          <w:p>
            <w:pPr>
              <w:pStyle w:val="TableContents"/>
              <w:bidi w:val="0"/>
              <w:spacing w:before="0" w:after="283"/>
              <w:jc w:val="left"/>
              <w:rPr/>
            </w:pPr>
            <w:r>
              <w:rPr/>
              <w:t xml:space="preserve">* </w:t>
            </w:r>
          </w:p>
        </w:tc>
        <w:tc>
          <w:tcPr>
            <w:tcW w:w="9185" w:type="dxa"/>
            <w:tcBorders/>
            <w:vAlign w:val="center"/>
          </w:tcPr>
          <w:p>
            <w:pPr>
              <w:pStyle w:val="TableContents"/>
              <w:bidi w:val="0"/>
              <w:spacing w:before="0" w:after="283"/>
              <w:jc w:val="both"/>
              <w:rPr/>
            </w:pPr>
            <w:r>
              <w:rPr>
                <w:sz w:val="20"/>
              </w:rPr>
              <w:t>Excludes the 1,125,000 ordinary shares underlying the April 2026 Warrant (defined below) that are outstanding.</w:t>
            </w:r>
            <w:r>
              <w:rPr/>
              <w:t xml:space="preserve"> </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756"/>
        <w:gridCol w:w="60"/>
        <w:gridCol w:w="228"/>
        <w:gridCol w:w="7161"/>
      </w:tblGrid>
      <w:tr>
        <w:trPr/>
        <w:tc>
          <w:tcPr>
            <w:tcW w:w="2756"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Resale of Ordinary Shares</w:t>
            </w:r>
          </w:p>
        </w:tc>
        <w:tc>
          <w:tcPr>
            <w:tcW w:w="60"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pPr>
            <w:r>
              <w:rPr/>
              <w:t> </w:t>
            </w:r>
          </w:p>
        </w:tc>
        <w:tc>
          <w:tcPr>
            <w:tcW w:w="7161" w:type="dxa"/>
            <w:tcBorders/>
            <w:vAlign w:val="center"/>
          </w:tcPr>
          <w:p>
            <w:pPr>
              <w:pStyle w:val="TableContents"/>
              <w:bidi w:val="0"/>
              <w:spacing w:before="0" w:after="283"/>
              <w:ind w:left="0" w:right="0" w:hanging="180"/>
              <w:jc w:val="both"/>
              <w:rPr/>
            </w:pPr>
            <w:r>
              <w:rPr/>
              <w:t> </w:t>
            </w:r>
          </w:p>
        </w:tc>
      </w:tr>
      <w:tr>
        <w:trPr/>
        <w:tc>
          <w:tcPr>
            <w:tcW w:w="2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pPr>
            <w:r>
              <w:rPr/>
              <w:t> </w:t>
            </w:r>
          </w:p>
        </w:tc>
        <w:tc>
          <w:tcPr>
            <w:tcW w:w="7161" w:type="dxa"/>
            <w:tcBorders/>
            <w:vAlign w:val="center"/>
          </w:tcPr>
          <w:p>
            <w:pPr>
              <w:pStyle w:val="TableContents"/>
              <w:bidi w:val="0"/>
              <w:spacing w:before="0" w:after="283"/>
              <w:ind w:left="0" w:right="0" w:hanging="180"/>
              <w:jc w:val="both"/>
              <w:rPr/>
            </w:pPr>
            <w:r>
              <w:rPr/>
              <w:t> </w:t>
            </w:r>
          </w:p>
        </w:tc>
      </w:tr>
      <w:tr>
        <w:trPr/>
        <w:tc>
          <w:tcPr>
            <w:tcW w:w="2756"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The Ordinary Shares that may be offered and sold from time to time by the Selling Shareholders</w:t>
            </w:r>
          </w:p>
        </w:tc>
        <w:tc>
          <w:tcPr>
            <w:tcW w:w="60"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7161" w:type="dxa"/>
            <w:tcBorders/>
            <w:vAlign w:val="center"/>
          </w:tcPr>
          <w:p>
            <w:pPr>
              <w:pStyle w:val="TableContents"/>
              <w:bidi w:val="0"/>
              <w:spacing w:before="0" w:after="283"/>
              <w:ind w:left="0" w:right="0" w:hanging="180"/>
              <w:jc w:val="both"/>
              <w:rPr>
                <w:rFonts w:ascii="Times New Roman;Times;Serif" w:hAnsi="Times New Roman;Times;Serif"/>
              </w:rPr>
            </w:pPr>
            <w:r>
              <w:rPr>
                <w:rFonts w:ascii="Times New Roman;Times;Serif" w:hAnsi="Times New Roman;Times;Serif"/>
              </w:rPr>
              <w:t>up to 83,456,793 Ordinary Shares, which consist of (i) 80,581,793 Ordinary Shares issued to Epicsoft Ventures in connection with the Business Combination, at an implied purchase price of $10.00 per share; and (ii) 2,875,000 Ordinary Shares issued to the Sponsor, which were originally purchased by the Sponsor at approximately $0.009 per share;</w:t>
            </w:r>
          </w:p>
        </w:tc>
      </w:tr>
      <w:tr>
        <w:trPr/>
        <w:tc>
          <w:tcPr>
            <w:tcW w:w="2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pPr>
            <w:r>
              <w:rPr/>
              <w:t> </w:t>
            </w:r>
          </w:p>
        </w:tc>
        <w:tc>
          <w:tcPr>
            <w:tcW w:w="7161" w:type="dxa"/>
            <w:tcBorders/>
            <w:vAlign w:val="center"/>
          </w:tcPr>
          <w:p>
            <w:pPr>
              <w:pStyle w:val="TableContents"/>
              <w:bidi w:val="0"/>
              <w:spacing w:before="0" w:after="283"/>
              <w:ind w:left="0" w:right="0" w:hanging="180"/>
              <w:jc w:val="both"/>
              <w:rPr/>
            </w:pPr>
            <w:r>
              <w:rPr/>
              <w:t> </w:t>
            </w:r>
          </w:p>
        </w:tc>
      </w:tr>
      <w:tr>
        <w:trPr/>
        <w:tc>
          <w:tcPr>
            <w:tcW w:w="2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7161" w:type="dxa"/>
            <w:tcBorders/>
            <w:vAlign w:val="center"/>
          </w:tcPr>
          <w:p>
            <w:pPr>
              <w:pStyle w:val="TableContents"/>
              <w:bidi w:val="0"/>
              <w:spacing w:before="0" w:after="283"/>
              <w:ind w:left="0" w:right="0" w:hanging="180"/>
              <w:jc w:val="both"/>
              <w:rPr>
                <w:rFonts w:ascii="Times New Roman;Times;Serif" w:hAnsi="Times New Roman;Times;Serif"/>
              </w:rPr>
            </w:pPr>
            <w:r>
              <w:rPr>
                <w:rFonts w:ascii="Times New Roman;Times;Serif" w:hAnsi="Times New Roman;Times;Serif"/>
              </w:rPr>
              <w:t>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w:t>
            </w:r>
          </w:p>
        </w:tc>
      </w:tr>
      <w:tr>
        <w:trPr/>
        <w:tc>
          <w:tcPr>
            <w:tcW w:w="2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pPr>
            <w:r>
              <w:rPr/>
              <w:t> </w:t>
            </w:r>
          </w:p>
        </w:tc>
        <w:tc>
          <w:tcPr>
            <w:tcW w:w="7161" w:type="dxa"/>
            <w:tcBorders/>
            <w:vAlign w:val="center"/>
          </w:tcPr>
          <w:p>
            <w:pPr>
              <w:pStyle w:val="TableContents"/>
              <w:bidi w:val="0"/>
              <w:spacing w:before="0" w:after="283"/>
              <w:ind w:left="0" w:right="0" w:hanging="180"/>
              <w:jc w:val="both"/>
              <w:rPr/>
            </w:pPr>
            <w:r>
              <w:rPr/>
              <w:t> </w:t>
            </w:r>
          </w:p>
        </w:tc>
      </w:tr>
      <w:tr>
        <w:trPr/>
        <w:tc>
          <w:tcPr>
            <w:tcW w:w="2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71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 to 549,500 Ordinary Shares issuable upon the exercise of 549,500 Warrants, which were originally issued concurrently with the initial public offering of RFAC in a private placement to EBC at a price of $1.00 per warrant, with each Warrant exercisable for Ordinary Share at $11.50 per share.</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547"/>
        <w:gridCol w:w="60"/>
        <w:gridCol w:w="8598"/>
      </w:tblGrid>
      <w:tr>
        <w:trPr/>
        <w:tc>
          <w:tcPr>
            <w:tcW w:w="1547" w:type="dxa"/>
            <w:tcBorders/>
            <w:vAlign w:val="center"/>
          </w:tcPr>
          <w:p>
            <w:pPr>
              <w:pStyle w:val="TableContents"/>
              <w:bidi w:val="0"/>
              <w:spacing w:before="0" w:after="283"/>
              <w:ind w:left="0" w:right="0" w:hanging="180"/>
              <w:jc w:val="left"/>
              <w:rPr>
                <w:rFonts w:ascii="Times New Roman;Times;Serif" w:hAnsi="Times New Roman;Times;Serif"/>
                <w:i/>
              </w:rPr>
            </w:pPr>
            <w:r>
              <w:rPr>
                <w:rFonts w:ascii="Times New Roman;Times;Serif" w:hAnsi="Times New Roman;Times;Serif"/>
                <w:i/>
              </w:rPr>
              <w:t>Terms of the Offering</w:t>
            </w:r>
          </w:p>
        </w:tc>
        <w:tc>
          <w:tcPr>
            <w:tcW w:w="60" w:type="dxa"/>
            <w:tcBorders/>
            <w:vAlign w:val="center"/>
          </w:tcPr>
          <w:p>
            <w:pPr>
              <w:pStyle w:val="TableContents"/>
              <w:bidi w:val="0"/>
              <w:spacing w:before="0" w:after="283"/>
              <w:jc w:val="both"/>
              <w:rPr/>
            </w:pPr>
            <w:r>
              <w:rPr/>
              <w:t> </w:t>
            </w:r>
          </w:p>
        </w:tc>
        <w:tc>
          <w:tcPr>
            <w:tcW w:w="8598" w:type="dxa"/>
            <w:tcBorders/>
            <w:vAlign w:val="center"/>
          </w:tcPr>
          <w:p>
            <w:pPr>
              <w:pStyle w:val="TableContents"/>
              <w:bidi w:val="0"/>
              <w:spacing w:before="0" w:after="283"/>
              <w:ind w:left="0" w:right="0" w:hanging="180"/>
              <w:jc w:val="both"/>
              <w:rPr>
                <w:rFonts w:ascii="Times New Roman;Times;Serif" w:hAnsi="Times New Roman;Times;Serif"/>
              </w:rPr>
            </w:pPr>
            <w:r>
              <w:rPr>
                <w:rFonts w:ascii="Times New Roman;Times;Serif" w:hAnsi="Times New Roman;Times;Serif"/>
              </w:rPr>
              <w:t>The Selling Shareholders will determine when and how they will dispose of the securities being registered for resale by the Selling Shareholders registered under this prospectus. The securities offered by this prospectus may be offered and sold at prevailing market prices, privately negotiated prices or such other prices as the Selling Shareholders may determine. See the section titled “</w:t>
            </w:r>
            <w:r>
              <w:rPr>
                <w:rFonts w:ascii="Times New Roman;Times;Serif" w:hAnsi="Times New Roman;Times;Serif"/>
                <w:i/>
              </w:rPr>
              <w:t>Plan of Distribution</w:t>
            </w:r>
            <w:r>
              <w:rPr>
                <w:rFonts w:ascii="Times New Roman;Times;Serif" w:hAnsi="Times New Roman;Times;Serif"/>
              </w:rPr>
              <w:t>”.</w:t>
            </w:r>
          </w:p>
        </w:tc>
      </w:tr>
      <w:tr>
        <w:trPr/>
        <w:tc>
          <w:tcPr>
            <w:tcW w:w="15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98" w:type="dxa"/>
            <w:tcBorders/>
            <w:vAlign w:val="center"/>
          </w:tcPr>
          <w:p>
            <w:pPr>
              <w:pStyle w:val="TableContents"/>
              <w:bidi w:val="0"/>
              <w:spacing w:before="0" w:after="283"/>
              <w:ind w:left="0" w:right="0" w:hanging="180"/>
              <w:jc w:val="both"/>
              <w:rPr/>
            </w:pPr>
            <w:r>
              <w:rPr/>
              <w:t> </w:t>
            </w:r>
          </w:p>
        </w:tc>
      </w:tr>
      <w:tr>
        <w:trPr/>
        <w:tc>
          <w:tcPr>
            <w:tcW w:w="1547"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Use of proceeds</w:t>
            </w:r>
          </w:p>
        </w:tc>
        <w:tc>
          <w:tcPr>
            <w:tcW w:w="60" w:type="dxa"/>
            <w:tcBorders/>
            <w:vAlign w:val="center"/>
          </w:tcPr>
          <w:p>
            <w:pPr>
              <w:pStyle w:val="TableContents"/>
              <w:bidi w:val="0"/>
              <w:spacing w:before="0" w:after="283"/>
              <w:jc w:val="both"/>
              <w:rPr/>
            </w:pPr>
            <w:r>
              <w:rPr/>
              <w:t> </w:t>
            </w:r>
          </w:p>
        </w:tc>
        <w:tc>
          <w:tcPr>
            <w:tcW w:w="8598" w:type="dxa"/>
            <w:tcBorders/>
            <w:vAlign w:val="center"/>
          </w:tcPr>
          <w:p>
            <w:pPr>
              <w:pStyle w:val="TableContents"/>
              <w:bidi w:val="0"/>
              <w:spacing w:before="0" w:after="283"/>
              <w:ind w:left="0" w:right="0" w:hanging="180"/>
              <w:jc w:val="both"/>
              <w:rPr>
                <w:rFonts w:ascii="Times New Roman;Times;Serif" w:hAnsi="Times New Roman;Times;Serif"/>
              </w:rPr>
            </w:pPr>
            <w:r>
              <w:rPr>
                <w:rFonts w:ascii="Times New Roman;Times;Serif" w:hAnsi="Times New Roman;Times;Serif"/>
              </w:rPr>
              <w:t>We will not receive any of the proceeds from the sale of the securities by the Selling Shareholders.</w:t>
            </w:r>
          </w:p>
        </w:tc>
      </w:tr>
      <w:tr>
        <w:trPr/>
        <w:tc>
          <w:tcPr>
            <w:tcW w:w="15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98" w:type="dxa"/>
            <w:tcBorders/>
            <w:vAlign w:val="center"/>
          </w:tcPr>
          <w:p>
            <w:pPr>
              <w:pStyle w:val="TableContents"/>
              <w:bidi w:val="0"/>
              <w:spacing w:before="0" w:after="283"/>
              <w:ind w:left="0" w:right="0" w:hanging="180"/>
              <w:jc w:val="both"/>
              <w:rPr/>
            </w:pPr>
            <w:r>
              <w:rPr/>
              <w:t> </w:t>
            </w:r>
          </w:p>
        </w:tc>
      </w:tr>
      <w:tr>
        <w:trPr/>
        <w:tc>
          <w:tcPr>
            <w:tcW w:w="1547"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Market for Ordinary Shares and Warrants</w:t>
            </w:r>
          </w:p>
        </w:tc>
        <w:tc>
          <w:tcPr>
            <w:tcW w:w="60" w:type="dxa"/>
            <w:tcBorders/>
            <w:vAlign w:val="center"/>
          </w:tcPr>
          <w:p>
            <w:pPr>
              <w:pStyle w:val="TableContents"/>
              <w:bidi w:val="0"/>
              <w:spacing w:before="0" w:after="283"/>
              <w:jc w:val="both"/>
              <w:rPr/>
            </w:pPr>
            <w:r>
              <w:rPr/>
              <w:t> </w:t>
            </w:r>
          </w:p>
        </w:tc>
        <w:tc>
          <w:tcPr>
            <w:tcW w:w="8598" w:type="dxa"/>
            <w:tcBorders/>
            <w:vAlign w:val="center"/>
          </w:tcPr>
          <w:p>
            <w:pPr>
              <w:pStyle w:val="TableContents"/>
              <w:bidi w:val="0"/>
              <w:spacing w:before="0" w:after="283"/>
              <w:ind w:left="0" w:right="0" w:hanging="180"/>
              <w:jc w:val="both"/>
              <w:rPr>
                <w:rFonts w:ascii="Times New Roman;Times;Serif" w:hAnsi="Times New Roman;Times;Serif"/>
              </w:rPr>
            </w:pPr>
            <w:r>
              <w:rPr>
                <w:rFonts w:ascii="Times New Roman;Times;Serif" w:hAnsi="Times New Roman;Times;Serif"/>
              </w:rPr>
              <w:t>Our Ordinary Shares are listed on The Nasdaq Global Select Market under the trading symbol “GCL” and the Warrants are listed on The Nasdaq Capital Market under the trading symbol “GCLWW.”</w:t>
            </w:r>
          </w:p>
        </w:tc>
      </w:tr>
      <w:tr>
        <w:trPr/>
        <w:tc>
          <w:tcPr>
            <w:tcW w:w="15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98" w:type="dxa"/>
            <w:tcBorders/>
            <w:vAlign w:val="center"/>
          </w:tcPr>
          <w:p>
            <w:pPr>
              <w:pStyle w:val="TableContents"/>
              <w:bidi w:val="0"/>
              <w:spacing w:before="0" w:after="283"/>
              <w:ind w:left="0" w:right="0" w:hanging="180"/>
              <w:jc w:val="both"/>
              <w:rPr/>
            </w:pPr>
            <w:r>
              <w:rPr/>
              <w:t> </w:t>
            </w:r>
          </w:p>
        </w:tc>
      </w:tr>
      <w:tr>
        <w:trPr/>
        <w:tc>
          <w:tcPr>
            <w:tcW w:w="1547"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Risk factors</w:t>
            </w:r>
          </w:p>
        </w:tc>
        <w:tc>
          <w:tcPr>
            <w:tcW w:w="60" w:type="dxa"/>
            <w:tcBorders/>
            <w:vAlign w:val="center"/>
          </w:tcPr>
          <w:p>
            <w:pPr>
              <w:pStyle w:val="TableContents"/>
              <w:bidi w:val="0"/>
              <w:spacing w:before="0" w:after="283"/>
              <w:jc w:val="both"/>
              <w:rPr/>
            </w:pPr>
            <w:r>
              <w:rPr/>
              <w:t> </w:t>
            </w:r>
          </w:p>
        </w:tc>
        <w:tc>
          <w:tcPr>
            <w:tcW w:w="85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investment in the securities offered hereby is speculative and involves a high degree of risk. You should carefully consider the information set forth under “</w:t>
            </w:r>
            <w:r>
              <w:rPr>
                <w:rFonts w:ascii="Times New Roman;Times;Serif" w:hAnsi="Times New Roman;Times;Serif"/>
                <w:i/>
              </w:rPr>
              <w:t>Risk Factors</w:t>
            </w:r>
            <w:r>
              <w:rPr>
                <w:rFonts w:ascii="Times New Roman;Times;Serif" w:hAnsi="Times New Roman;Times;Serif"/>
              </w:rPr>
              <w:t>” and elsewhere in this prospectus.</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Except where otherwise stated, the number of Ordinary Shares that will be outstanding immediately before this offering excludes 16,500,000 Ordinary Shares underlying the Warrants that are outstanding and the 1,125,000 ordinary shares underlying the April 2026 Warrant (defined below) that are outstanding.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_007"/>
      <w:bookmarkEnd w:id="8"/>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Investing in our securities involves significant risks. Before making a decision to invest in our securities, you should carefully consider the following risks and those discussed in our then-most recent annual report on Form 20-F,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risks not presently known to us or that we currently deem immaterial may also impair our business operations. The trading price and value of our securities could decline due to any of these risks, and you may lose all or part of your investment. This prospectus also contains forward-looking statements that involve risks and uncertainties. See the section entitled “Cautionary Note Regarding Forward-Looking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Company is currently not in compliance with certain Nasdaq continued listing requirements; and if we are unable to regain compliance with Nasdaq’s continued listing requirements, our securities will be subject to delisting.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17, 2026, the Company received a notice (the “Bid Price Notice”) from Nasdaq stating that the Company’s ordinary shares failed to comply with the minimum $1.00 per share requirement for continued listing on the Nasdaq under Nasdaq Listing Rule 5450(a)(1) (the “Minimum Bid Price Rule”). Pursuant to Nasdaq Listing Rule 5810(c)(3)(A), the Company has an initial period of 180 calendar days, or until September 14, 2026, to regain compliance (the “Bid Price Compliance Period”). Pursuant to the Bid Price Notice, if at any time during the Compliance Period the closing bid price of the ordinary shares is at least $1.00 for a minimum of ten consecutive business days, Nasdaq will provide the Company with written confirmation of compliance and such matter will be closed.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fails to regain compliance with the Minimum Bid Price Rule during the Bid Price Compliance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March 15, 2027, to regain compliance. However, there can be no assurance that the Company would be eligible for the additional 180 calendar day compliance period, if applicable, or that the Nasdaq staff would grant the Company’s request for continued listing. If we are unable to regain compliance with any of these continued listing requirements, our securities will be subject to delisting.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Sales of a substantial number of our securities in the public market by our existing shareholders could cause the price of our Ordinary Shares and Warrants to fall, and certain Selling Shareholders can earn a positive rate of return on their investment, even if other shareholders experience a negative rate of return.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a substantial number of the Ordinary Shares and/or Warrants in the public market or the perception that these sales could occur, could adversely affect the market price of the Ordinary Shares and Warrants and could materially impair our ability to raise capital through equity offerings in the future.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among other things, the issuance from time to time by us of up to 16,500,000 Ordinary Shares, which consist of (i) 11,500,000 Ordinary Shares issuable upon the exercise of 11,500,000 Warrants, which were originally issued in the initial public offering of RFAC and (ii) 5,000,000 Ordinary Shares issuable upon the exercise of 5,000,000 Warrants, which were originally issued as RFAC Private Placement Warrants to the Sponsor and EBC.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also relates to the resale from time to time by the Selling Shareholders of (a) up to 83,456,793 Ordinary Shares, which consist of (i) 80,581,793 Ordinary Shares issued to Epicsoft Ventures in connection with the Business Combination (as defined below) at an implied purchase price of $10.00 per share; (ii) 2,875,000 Ordinary Shares issued to the Sponsor, which were originally purchased by the Sponsor at approximately $0.009 per share; (b) 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 (c) up to 549,500 Ordinary Shares issuable upon the exercise of 549,500 Warrants, which were originally issued concurrently with the initial public offering of RFAC in a private placement to EBC at a price of $1.00 per warrant, with each Warrant exercisable for one Ordinary Share at $11.50 per share.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our issued share capital consisted of 130,135,432 Ordinary Shares and 16,500,000 Warrants.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holders of 1,522,973 shares of RFAC Common Stock exercised their right to redeem their shares for cash at a redemption price of approximately $11.54 per share, for an aggregate redemption amount of $17.6 million, representing approximately 96.7% of the total shares of RFAC Common Stock then held by public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so long as the effective registration statement of which this prospectus forms a part is available for use, Epicsoft Ventures and the Sponsor, collectively the beneficial owners of 83,456,793 Ordinary Shares, constituting approximately 65.2% of our issued and outstanding Ordinary Shares as of the date of this prospectus, can sell under this prospectus (assuming all Warrants are exercised in full), up to 87,907,293 Ordinary Shares constituting approximately 68.7% of the issued and outstanding Ordinary Shares as of the date of this prospectus. Given the substantial number of Ordinary Shares being registered for potential resale by the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a substantial number of Ordinary Shares in the public market by the Selling Shareholders and/or by our other existing shareholders, or the perception that those sales might occur, could result in a significant decline in the public trading price of our Ordinary Shares and could impair our ability to raise capital through the sale of additional equity securities. Because the prices at which certain Selling Shareholders acquired the securities that they may sell pursuant to this prospectus may be lower than that of our public shareholders, certain Selling Shareholders may still experience a positive rate of return on the securities that they sell pursuant to this prospectus, and be incentivized to sell such shares, when our public shareholders may not experience a similar rate of return. Based on the closing price of our Ordinary Shares of $0.47 as of May 12, 2026, the Sponsor (with respect to the Sponsor Founder shares) may experience potential profit of up to $0.46 per share, or an aggregate of up to approximately $1.3 million. Accordingly, such Selling Shareholders may have an incentive to sell their securities even if the trading price is lower than the price at which our public shareholders purchased their securities. Holders of Warrants may experience potential profit if the price of the Company’s Ordinary Shares exceeds $12.50 per share. In connection with the initial public offering of RFAC, RFAC’s initial public shareholders acquired RFAC Public Units at a price of $10.00 per unit, each of which comprises one share of RFAC Common Stock, one RFAC Warrant and one RFAC Right, and trading price of our Ordinary Shares have fluctuated, and may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Shareholders pursuant to this prospectus will be sold by the Selling Shareholders for their respective accounts. We will not receive any of the proceeds from these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pay any underwriting discounts and commissions and expenses incurred by the Selling Shareholders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up to an aggregate of $189.75 million from the exercise of the Warrants, assuming the exercise in full of all of the Warrants. We expect to use the net proceeds from the exercise of these securities, if any, for general corporate purposes. We will have broad discretion over the use of proceeds from the exercise of these securities. There is no assurance that the holders of the Warrants will elect to exercise any or all of such Warrants. To the extent that any of these Warrants are exercised on a “cashless basis,” the amount of cash we would receive from the exercise of the Warrants will decrease. See “</w:t>
      </w:r>
      <w:r>
        <w:rPr>
          <w:rFonts w:ascii="Times New Roman;Times;Serif" w:hAnsi="Times New Roman;Times;Serif"/>
          <w:b w:val="false"/>
          <w:i/>
          <w:caps w:val="false"/>
          <w:smallCaps w:val="false"/>
          <w:sz w:val="20"/>
        </w:rPr>
        <w:t>Description of Securities - Warrants</w:t>
      </w:r>
      <w:r>
        <w:rPr>
          <w:rFonts w:ascii="Times New Roman;Times;Serif" w:hAnsi="Times New Roman;Times;Serif"/>
          <w:b w:val="false"/>
          <w:i w:val="false"/>
          <w:caps w:val="false"/>
          <w:smallCaps w:val="false"/>
          <w:sz w:val="20"/>
        </w:rPr>
        <w:t>”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assurance that the holders of the Warrants will elect to exercise any or all of such Warrants. The exercise price of the Warrants is $11.50 per share. The likelihood that warrant holders will exercise the Warrants, and therefore the amount of cash proceeds that we would receive, is dependent upon the trading price of our Ordinary Shares. If the trading price for our Ordinary Shares is less than $11.50 per share, we believe holders of the Warrants will be unlikely to exercise their respective securities. As the closing price of our Ordinary Shares was $0.47 as of May 12, 2026, we believe that holders of the Warrants are currently unlikely to exercise their respective securities. There is no guarantee that the Warrants will be in the money prior to their expiration, and as such, the Warrants may expire worthless and we may receive no proceeds from the exercise of these securities. To the extent that any of the Warrants are exercised on a “cashless basis,” the amount of cash we would receive from the exercise of the respective securities will decrease. We do not expect to rely on the cash exercise of Warrants to fund our operations. Instead, we intend to rely on our primary sources of cash discussed elsewhere in this prospectus to continue to support our operations.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k_030"/>
      <w:bookmarkEnd w:id="10"/>
      <w:r>
        <w:rPr>
          <w:rFonts w:ascii="Times New Roman;Times;Serif" w:hAnsi="Times New Roman;Times;Serif"/>
          <w:b/>
          <w:i w:val="false"/>
          <w:caps w:val="false"/>
          <w:smallCaps w:val="false"/>
          <w:sz w:val="20"/>
        </w:rPr>
        <w:t>MATERIAL U.S. FEDERAL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certain material U.S. federal income tax consequences of the ownership and disposition of Ordinary Shares for a U.S. Holder (as defined below). This discussion address only U.S. Holders that acquire Ordinary Shares in this offering. This discussion is for general information purposes only and does not purport to be a complete analysis or listing of all potential U.S. federal income tax consequences that may apply to a U.S. holder as a result of the ownership and disposition of Ordinary Shares.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U.S. Internal Revenue Code of 1986, as amended (the “Code”), the U.S. Treasury Regulations promulgated thereunder (whether final, temporary, or proposed) (the “Treasury Regulations”), published administrative rulings of the IRS, and judicial decisions, all as in effect on the date hereof. Any of the authorities on which this summary is based could be changed in a material and adverse manner at any time, and any such change could be applied on a retroactive or prospective basis which could affect the U.S. federal income tax considerations described in this summary.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U.S. Holders should consult their own tax advisors regarding such tax consequences in light of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sought any rulings from the IRS with respect to the statements made and the positions or conclusions described in this summary;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Ordinary Shares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0" w:right="0" w:firstLine="36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or other financial institutions, underwriters, or insurance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brokers or dealers in securities or currencies or holders that are traders in securities who elect to apply a mark-to-market method of accounting;</w:t>
            </w:r>
          </w:p>
        </w:tc>
      </w:tr>
    </w:tbl>
    <w:p>
      <w:pPr>
        <w:pStyle w:val="TextBody"/>
        <w:bidi w:val="0"/>
        <w:spacing w:before="0" w:after="0"/>
        <w:ind w:left="0" w:right="0" w:firstLine="36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 and regulated investment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17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qualified retirement plans, individual retirement accounts, or other tax-deferred accounts;</w:t>
            </w:r>
          </w:p>
        </w:tc>
      </w:tr>
    </w:tbl>
    <w:p>
      <w:pPr>
        <w:pStyle w:val="TextBody"/>
        <w:bidi w:val="0"/>
        <w:spacing w:before="0" w:after="0"/>
        <w:ind w:left="0" w:right="0" w:firstLine="36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expatriates or former citizens or long-term residents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subchapter S corporations, partnerships or other pass-through entities or investors in such entities;</w:t>
            </w:r>
          </w:p>
        </w:tc>
      </w:tr>
    </w:tbl>
    <w:p>
      <w:pPr>
        <w:pStyle w:val="TextBody"/>
        <w:bidi w:val="0"/>
        <w:spacing w:before="0" w:after="0"/>
        <w:ind w:left="0" w:right="0" w:firstLine="36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holder that is not a U.S. Holder;</w:t>
            </w:r>
          </w:p>
        </w:tc>
      </w:tr>
    </w:tbl>
    <w:p>
      <w:pPr>
        <w:pStyle w:val="TextBody"/>
        <w:bidi w:val="0"/>
        <w:spacing w:before="0" w:after="0"/>
        <w:ind w:left="0" w:right="0" w:firstLine="36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in securities, commodities or currencies;</w:t>
            </w:r>
          </w:p>
        </w:tc>
      </w:tr>
    </w:tbl>
    <w:p>
      <w:pPr>
        <w:pStyle w:val="TextBody"/>
        <w:bidi w:val="0"/>
        <w:spacing w:before="0" w:after="0"/>
        <w:ind w:left="0" w:right="0" w:firstLine="360"/>
        <w:jc w:val="both"/>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7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grantor trusts;</w:t>
            </w:r>
          </w:p>
        </w:tc>
      </w:tr>
    </w:tbl>
    <w:p>
      <w:pPr>
        <w:pStyle w:val="TextBody"/>
        <w:bidi w:val="0"/>
        <w:spacing w:before="0" w:after="0"/>
        <w:ind w:left="0" w:right="0" w:firstLine="36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subject to the alternative minimum tax;</w:t>
            </w:r>
          </w:p>
        </w:tc>
      </w:tr>
    </w:tbl>
    <w:p>
      <w:pPr>
        <w:pStyle w:val="TextBody"/>
        <w:bidi w:val="0"/>
        <w:spacing w:before="0" w:after="0"/>
        <w:ind w:left="0" w:right="0" w:firstLine="36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persons whose “functional currency” is not the U.S. dollar;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received shares of Ordinary Shares through the issuance of restricted stock under an equity incentive plan or through a tax-qualified retirement plan or otherwise as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17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own (directly or through attribution) 5% or more (by vote or value) of the issued shares of the Company;</w:t>
            </w:r>
          </w:p>
        </w:tc>
      </w:tr>
    </w:tbl>
    <w:p>
      <w:pPr>
        <w:pStyle w:val="TextBody"/>
        <w:bidi w:val="0"/>
        <w:spacing w:before="0" w:after="0"/>
        <w:ind w:left="0" w:right="0" w:firstLine="36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officers or directors;</w:t>
            </w:r>
          </w:p>
        </w:tc>
      </w:tr>
    </w:tbl>
    <w:p>
      <w:pPr>
        <w:pStyle w:val="TextBody"/>
        <w:bidi w:val="0"/>
        <w:spacing w:before="0" w:after="0"/>
        <w:ind w:left="0" w:right="0" w:firstLine="36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Warrants or other rights to acquire Ordinary Shares;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holding Ordinary Shares as a position in a “straddle,” as part of a “synthetic security” or “hedge,” as part of a “conversion transaction,” or other integrated investment or risk reduction transaction;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Ordinary Shares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0" w:right="0" w:firstLine="36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Ordinary Shares, the U.S. federal income tax treatment of a partner in such partnership will generally depend on the status of the partner and the activities of the partnership. This discussion does not address the tax consequences to any such partner or partnership. A holder that is a partnership and the partners in such partnership should consult their own tax advisors with regard to the U.S. federal income tax consequences of the ownership and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PURPORT TO BE A COMPREHENSIVE ANALYSIS OR DESCRIPTION OF ALL POTENTIAL U.S. FEDERAL INCOME TAX CONSEQUENCES OF THE OWNERSHIP AND DISPOSITION OF ORDINARY SHARES. IN ADDITION, THE U.S. FEDERAL INCOME TAX TREATMENT OF THE BENEFICIAL OWNERS OF ORDINARY SHARES MAY BE AFFECTED BY MATTERS NOT DISCUSSED HEREIN AND DEPENDS IN SOME INSTANCES ON DETERMINATIONS OF FACT AND INTERPRETATIONS OF COMPLEX PROVISIONS OF U.S. FEDERAL INCOME TAX LAW FOR WHICH NO CLEAR PRECEDENT OR AUTHORITY MAY BE AVAILABLE. HOLDERS SHOULD CONSULT WITH THEIR TAX ADVISORS REGARDING THE PARTICULAR TAX CONSEQUENCES TO THEM OF THE OWNERSHIP AND DISPOSITION OF ORDINARY SHARES,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Treatment of PubCo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is generally considered for U.S. federal income tax purposes to be a tax resident in the jurisdiction of its organization and incorporation. Accordingly, under generally applicable U.S. federal income tax rules, PubCo, which is incorporated under the laws of the Cayman Islands,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a U.S. corporation (including through the acquisition of all of the outstanding shares of the U.S. corporation); (ii) the non-U.S. corporation’s “expanded affiliate group” does not have “substantial business activities” in the non-U.S. corporation’s country of organization or incorporation and (iii) after the acquisition, the former shareholders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“ownership test”). The ownership test in clause (iii) above is modified with respect to potential “third-country transactions” such that the ownership test will be met if, after the acquisition, the former shareholders of the acquired U.S. corporation hold at least 60% (by either vote or value) of the shares of the non-U.S. acquiring corporation by reason of holding shares in the U.S. acquired corporation (as modified, the “modified ownership test”). Because the Business Combination was a potential third-country transaction, the modified ownership test applied to determine whether PubCo is treated as a U.S. corporation under Section 7874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7874 of the Code, the first two conditions described above were expected be met with respect to the Business Combination because PubCo will acquire indirectly all of the assets of RFAC through the SPAC Merger, and PubCo, including its “expanded affiliate group,” was not expected to satisfy the substantial business activities test upon consummation of the Business Combination. As a result, whether Section 7874 will apply to cause PubCo to be treated as a U.S. corporation for U.S. federal income tax purposes following the Business Combination should depend on the satisfaction of the modified ownership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terms of the Business Combination, the rules for determining share ownership under Section 7874 of the Code and the Treasury Regulations promulgated thereunder, and certain factual assumptions, the Section 7874 ownership percentage of the RFAC stockholders in PubCo should be less than 60%. Accordingly, PubCo is not expected to be treated as a U.S. corporation for U.S. federal income tax purposes under Section 7874 of the Code. However, the calculations for determining share ownership for purposes of the ownership test under Section 7874 of the Code are complex, subject to detailed rules and regulations (the application of which is uncertain in various respects and could be impacted by changes to applicable rules and regulations under U.S. federal income tax laws, with possible retroactive effect), and subject to certain factual uncertainties. Furthermore, for purposes of determining the ownership percentage of RFAC stockholders for purposes of Section 7874, among other adjustments required to be taken into account, RFAC stockholders will be deemed to own an amount of PubCo Ordinary Shares in respect to certain redemptions by RFAC prior to the SPAC Merger. Accordingly, given the inherently factual nature of the analysis, neither RFAC nor PubCo has sought a legal opinion from counsel in respect of the potential applicability of Section 7874 to the Business Combination, and there can be no assurance that the IRS would not assert a contrary position to those described above or that such an assertion would not be sustained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PubCo were to be treated as a U.S. corporation for U.S. federal income tax purposes, it could be subject to substantial liability for additional U.S. income taxes, and the gross amount of any dividend payments to its non-U.S. investors could be subject to U.S. withholding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assumes that PubCo will not be treated as a U.S. corporation for U.S. federal income tax purposes under Section 7874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Consequences of Ownership and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 a U.S. Holder generally will be required to include in gross income any distribution of cash or property paid on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non-corporate U.S. Holders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The Treasury guidance indicates that shares listed on the Nasdaq will be considered readily tradable on an established securities market in the United States. Although the Ordinary Shares are currently listed on the Nasdaq, there can be no assurance that the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we will not constitute a qualified foreign corporation for purposes of these rules if we are a PFIC for the taxable year in which we pay a dividend or for the preceding taxable year. See the discussion below under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us, calculated by reference to the spot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made by us on the Ordinary Shares exceeds our current and accumulated earnings and profits for a taxable year (as determined under U.S. federal income tax principles), the distribution will first be treated as a tax-free return of capital, causing a reduction in the adjusted basis of the U.S. Holder’s Ordinary Shares, and to the extent the amount of the distribution exceeds the U.S. Holder’s tax basis, the excess will be taxed as capital gain recognized on a sale or exchange as described below under “— </w:t>
      </w:r>
      <w:r>
        <w:rPr>
          <w:rFonts w:ascii="Times New Roman;Times;Serif" w:hAnsi="Times New Roman;Times;Serif"/>
          <w:b w:val="false"/>
          <w:i/>
          <w:caps w:val="false"/>
          <w:smallCaps w:val="false"/>
          <w:sz w:val="20"/>
        </w:rPr>
        <w:t>Sale, Exchange, Redemption or Other Taxable Disposition of Ordinary Shares</w:t>
      </w:r>
      <w:r>
        <w:rPr>
          <w:rFonts w:ascii="Times New Roman;Times;Serif" w:hAnsi="Times New Roman;Times;Serif"/>
          <w:b w:val="false"/>
          <w:i w:val="false"/>
          <w:caps w:val="false"/>
          <w:smallCaps w:val="false"/>
          <w:sz w:val="20"/>
        </w:rPr>
        <w:t>.” However, we may not calculate earnings and profits in accordance with U.S. federal income tax principles. In such event, a U.S. Holder should expect to generally treat distributions we make as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 a U.S. Holder will generally recognize gain or loss on any sale, exchange, or other taxable disposition of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Preferential tax rates may apply to long-term capital gains of non-corporate U.S. Holders. The deductibility of capital losses is subject to limitations. Any gain or loss recognized by a U.S. Holder on the sale or exchange of Ordinary Shares will generally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14"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We are not currently expected to be treated as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k_018"/>
      <w:bookmarkEnd w:id="11"/>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section to “we,” “us,” or “our” are to PubCo, except where the context requires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incorporated with limited liability and our affairs are governed by the provisions of the PubCo Charter, as amended and restated from time to time, and by the provisions of applicable Cayman Islands law, including the Companies Act and the common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registration number in the Cayman Islands is 403942. As provided in the PubCo Charter, subject to Cayman Islands law, we have full power and authority to carry out any object not prohibited by the laws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certain terms of our shares as set out more particularly in the of PubCo Charter. Because it is only a summary, it may not contain all the information that is important to you. We urge you to read the applicable provisions of Cayman Islands law and the PubCo Charter carefully and in their entirety because they describe your rights as a holder of PubCo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authorized shares of PubCo consist of US$50,000 divided into 500,000,000 Shares of a par value of US$0.0001 each.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shares in PubCo are deemed to be issued when the name of the shareholder is entered in our register of members. Our register of members will be maintained by our transfer agent Continental Stock Transfer &amp; Trust Company (“Continental Stock”). If (a) information that is required to be entered in the register of members is omitted from the register or is inaccurately entered in the register, or (b) there is unreasonable delay in entering information in the register, without sufficient cause, a shareholder of PubCo, or any person who is aggrieved by the omission, inaccuracy or delay, may apply to the Cayman Islands Court for an order that the register be rectified, and the Court may either refuse the application or order the rectification of the register, and may direct PubCo to pay all costs of the application and any damages the applicant may have sustained.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rights of holders of our Ordinary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Ordinary Shares is entitled to one vote per share on all matters to be voted on by shareholders generally, including the appointment of directors;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Ordinary Shares are entitled to dividends and other distributions, as may be declared from time to time by our board of directors out of funds legally available for that purpose, if any, and pursuant to the PubCo Charter, all dividends unclaimed for three years from the date the dividend became due for payment shall be forfeited and shall revert to PubCo;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 up, the holders of Ordinary Shares will be entitled to share ratably, in the distribution of all of our assets remaining available for distribution after satisfaction of all our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Ordinary Shares are subject to, and may be adversely affected by, the rights of the holders of any other class of shares that we may designate in the future having such rights as specified by the board of directors pursuant to the resolution of directors approving the creation of such class of shares. The directors shall not require any approval of the shareholders or any class of shareholders in respect of the creation or issuance of preference shares. However, any related amendment to the PubCo Charter will require approval of our shareholders by way of special resolution (which requires a majority of not less than two-thirds).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do not have any preemptive or other rights to subscribe for additional shares pursuant to the PubCo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certain relevant provisions of Cayman Islands law and the PubCo Charter in relation to our shareholders’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PubCo may convene meetings of shareholders at such times and in such manner and places within or outside the Cayman Islands as the directors consider necessary or desirable. There is no requirement for PubCo to hold annual general meetings;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holding not less than twenty percent (20%) in par value of the issued shares which as at that date carry the right to vote at general meetings shall have the ability to requisition a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17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convening a meeting of shareholders must give not less than ten days’ clear notice of the proposed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be represented at a meeting of shareholders by a proxy who may speak and vote on behalf of the shareholder;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may be transacted at a general meeting unless a quorum is present. A quorum is those shareholders present in person or by proxy or by a duly authorised representative holding shares entitled to vote on the business to be transacted which represent not less than one-third of all issued shares, unless PubCo has only one shareholder in which case that shareholder alone constitutes a quorum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of shareholders is passed by a simple majority of such shareholders as, being entitled to do so, vote in person or, where proxies are allowed, by proxy at a general meeting of the PubCo and where a poll is taken regard shall be had in computing a majority to the number of votes to which each shareholder is entitled by the PubCo Charter.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of shareholders is passed by a majority of not less than two-thirds of such shareholders as, being entitled to do so, vote in person or, where proxies are allowed, by proxy at a general meeting of PubCo of which notice specifying the intention to propose the resolution as a special resolution has been duly given and where a poll is taken regard shall be had in computing a majority to the number of votes to which each shareholder is entitled;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Charter do not permit the adoption by the shareholders of resolutions in writing. A shareholder resolution must be passed at a meeting of the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have no general right under the PubCo Charter to bring business before a general meeting of PubCo, save in the case of any shareholders right to requisition a general meeting provided the minimum shareholder requirement is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PubCo may be appointed by an ordinary resolution of the shareholders. Alternatively, the PubCo board of directors may, by the affirmative vote of a simple majority of the directors present and voting at a board meeting appoint any person as a director to fill a casual vacancy on the board or as an addition to the existing board. The PubCo directors are not automatically subject to a term of office and hold office until such time as their office is vacated or where they are removed from office by an ordinary resolution of shareholders or otherwise in accordance with the PubCo Charter. In addition, a director will cease to be a director if, among other things the director (i) becomes bankrupt or makes any arrangement or composition with his or her creditors: (ii) dies or is found to be or becomes of unsound mind within the scope of the PubCo Charter: (iii) resigns his or her office by notice in writing to PubCo; (iv) without special leave of absence from the PubCo Board, is absent from board meetings for a continuous period of 6 months and the PubCo directors resolve that his or her office be vacated; (v) by notice in writing signed by not less than three-fourths of all the PubCo directors in number; or (vi) is removed from office pursuant to any other provision of the PubCo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PubCo are appointed by and serve at the discretion of the board of directors, and may be removed by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Suits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PubCo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the number of votes which have actually been obtained; and</w:t>
            </w:r>
          </w:p>
        </w:tc>
      </w:tr>
    </w:tbl>
    <w:p>
      <w:pPr>
        <w:pStyle w:val="TextBody"/>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April 2026 Warrant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2026, the Company issued to an institutional investor a warrant for 1,125,000 shares at an initial exercise price of $8.00 per share (the “April 2026 Warrant”), subject to full-ratchet anti-dilution adjustments and other price protections, in exchange for a portion of the then-outstanding convertible notes issued pursuant to an Amendment, Waiver and Exchange Agreement dated April 28, 2026. This warrant has a term of three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summary is not complete and is subject to, and is qualified in its entirety by reference to, the provisions of the Warrant Agreement, dated as of March 23, 2022, by and between RFAC and Continental Stock Transfer &amp; Trust Company (the “2022 Warrant Agreement”), which was filed as Exhibit 4.1 to the registration statement of which this prospectus forms a part.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13, 2025, the Company, RFAC and Continental Stock Transfer &amp; Trust Company entered into the Assignment, Assumption and Amendment Agreement (the “Amended Warrant Agreement”), pursuant to which, among other things, effective as of the Effective Time, the Company will assume the obligations of RFAC under the 2022 Warrant Agreement. Pursuant to the Business Combination Agreement and the Amended Warrant Agreement, each issued and outstanding warrant of RFAC sold to the public and to the Sponsor and EBC in a private placement in connection with RFAC’s initial public offering was exchanged for a corresponding warrant exercisable for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the same terms as the RFAC Warrants. Each whole Warrant entitles the registered holder to purchase one Ordinary Share at a price of $11.50 per share, subject to adjustment as discussed below, at any time commencing 30 days after the completion of our Business Combination; provided that we have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Ordinary Shares. This means only a whole Warrant may be exercised at a given time by a warrant holder. The Warrants will expire five years after the completion of our Business Combination, at 5:00 p.m., New York City time, or earlier upon redemption or liquidation.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 Ordinary Share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Ordinary Share underlying such Unit.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registered the Ordinary Shares issuable upon exercise of the Warrants on a Registration Statement on Form S-1 (File No. 333-265353) because the Warrants will become exercisable 30 days after the completion of its Business Combination, which may be within one year of our Initial Public Offering. However, because the Warrants will be exercisable until their expiration date of up to five years after the completion of our Business Combination, in order to comply with the requirements of Section 10(a)(3) of the Securities Act following the consummation of our Business Combination, under the terms of the warrant agreement, we have agreed that, as soon as practicable, but in no event later than 15 business days, after the closing of its Business Combination, we will use our best efforts to file with the SEC a post-effective amendment to the registration statement or a new registration statement covering the registration under the Securities Act of the Ordinary Shares issuable upon exercise of the Warrants and thereafter will use our best efforts to cause the same to become effective within 60 business days following our Business Combination and to maintain a current prospectus relating to the Ordinary Shares issuable upon exercise of the Warrants until the expiration of the Warrants in accordance with the provisions of the warrant agreement. If a registration statement covering the Ordinary Shares issuable upon exercise of the Warrants is not effective by the sixtieth (60th) business day after the closing of our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Ordinary Shares are at the time of any exercise of a Warrant no longer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On April 3, 2025, we registered the Ordinary Shares issuable upon exercise of the these Warrants on a Registration Statement on Form F-1 (File No. 333-265353) which was declared effective by the SEC on April 7,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 for cash:</w:t>
      </w:r>
    </w:p>
    <w:p>
      <w:pPr>
        <w:pStyle w:val="TextBody"/>
        <w:bidi w:val="0"/>
        <w:spacing w:before="0" w:after="0"/>
        <w:ind w:left="835" w:right="0" w:hanging="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p>
      <w:pPr>
        <w:pStyle w:val="TextBody"/>
        <w:bidi w:val="0"/>
        <w:spacing w:before="0" w:after="0"/>
        <w:ind w:left="835" w:right="0" w:hanging="360"/>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$.01 per Warrant;</w:t>
            </w:r>
          </w:p>
        </w:tc>
      </w:tr>
    </w:tbl>
    <w:p>
      <w:pPr>
        <w:pStyle w:val="TextBody"/>
        <w:bidi w:val="0"/>
        <w:spacing w:before="0" w:after="0"/>
        <w:ind w:left="835"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(the “30-day redemption period”) to each warrant holder; and</w:t>
            </w:r>
          </w:p>
        </w:tc>
      </w:tr>
    </w:tbl>
    <w:p>
      <w:pPr>
        <w:pStyle w:val="TextBody"/>
        <w:bidi w:val="0"/>
        <w:spacing w:before="0" w:after="0"/>
        <w:ind w:left="835"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common stock equals or exceeds $18.00 per share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for any 20 trading days within a 30-trading day period ending three business days before we send to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for cash, we may exercise our redemption right even if we are unable to register or qualify the underlying securities for sale under all applicable state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as well as the $11.50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Ordinary Shares issuable upon the exercise of our Warrants. If our Management takes advantage of this option, all holders of Warrants would pay the exercise price by surrendering their Warrants for that number of Ordinary Shares equal to the quotient obtained by dividing (x) the product of the number of Ordinary Shares underlying the Warrants, multiplied by the excess of the “fair market value” of our Ordinary Shares (defined below) over the exercise price of the Warrants by (y) the fair market value. The “fair market value” will mean the average closing price of the Ordinary Shares for the five trading days ending on the third trading day prior to the date on which the notice of redemption is sent to the holders of Warrants. If our Management takes advantage of this option, the notice of redemption will contain the information necessary to calculate the number of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if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increased by a share capitalization payable in Ordinary Shares, or by a split-up of common stock or other similar event, then, on the effective date of such share capitalization, split-up or similar event, the number of Ordinary Shares issuable on exercise of each Warrant will be increased in proportion to such increase in the outstanding shares of common stock. A Rights offering to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five trading day period ending on the trading day prior to the first date on which the Ordinary Shares trades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the holders of Ordinary Shares on account of such Ordinary Shares (or other securities into which the Warrants are convertible), other than (a) as described above, (b) certain ordinary cash dividends, (c) to satisfy the redemption rights of the holders of Ordinary Shares in connection with a proposed Business Combination, or (d) in connection with the redemption of our public shares upon our failure to complete our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will be decreased in proportion to such decrease in the outstanding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Ordinary Shares or equity-linked securities for capital raising purposes in connection with the closing of our Business Combination at an issue price or effective issue price of less than $9.20 per Ordinary Share (with such issue price or effective issue price to be determined in good faith by our board of directors and, in the case of any such issuance to our Sponsor, initial stockholders or their affiliates, without taking into account any Founder Shares held by our Sponsor, initial stockholders or such affiliates, as applicable, prior to such issuance) (the “Newly Issued Price”), (y) the aggregate gross proceeds from such issuances represent more than 60% of the total equity proceeds, and interest thereon, available for the funding of our Business Combination on the date of the consummation of our Business Combination (net of redemptions), and (z) the volume weighted average trading price of our Ordinary Shares during the 20 trading day period starting on the trading day after the day on which we consummate our Business Combination (such price, the “Market Value”) is below $9.20 per share, the exercise price of the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will be adjusted (to the nearest cent) to be equal to 115% of the higher of the Market Value and the Newly Issued Price, and the $18.00 per share redemption trigger price described below under “Redemption of Warrants” will be adjusted (to the nearest cent) to be equal to 118% of the higher of the Market Value and the Newly Issued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issued in registered form under a warrant agreement between Continental Stock Transfer &amp; Trust Company, as warrant agent, and us. You should review a copy of the warrant agreement, which will be filed as an exhibit to the registration statement of which this Annual Report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Ordinary Shares. After the issuance of Ordinary Shares upon exercise of the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(including the Ordinary Shares issuable upon exercise of the Private Placement Warrants) will not be transferable, assignable or salable until 30 days after the completion of our Business Combination. The Private Placement Warrants have terms and provisions that are identical to those of the Warrants being sold as part of the units in our Initial Public Offering, including as to exercise price, exercisability and exercise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Warrants (and Private Placement-equivalent Warrants) elect to exercise them on a cashless basis, they would pay the exercise price by surrendering their Warrants for that number of Ordinary Shares equal to the quotient obtained by dividing (x) the product of the number of Ordinary Shares underlying the Warrants, multiplied by the excess of the “fair market value” (defined below) of the Ordinary Shares over the exercise price of the Warrants by (y) the fair market value. The “fair market value” shall mean the average reported last sale price of the Ordinary Shares for the five trading days ending on the third trading day prior to the date on which the notice of Warrant exercise is sent to the warrant agent.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Ordinary Shares issuable upon exercise of the Warrants freely in the open market, the insiders could be significantly restricted from doing so. As a result, we believe that allowing the holders to exercise such Warrants on a cashless basis is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Business Combination, our sponsor or an affiliate of our sponsor or certain of our officers and directors may, but are not obligated to, loan us funds as may be required. The terms of such working capital loans by our sponsor or its affiliates, or our officers and directors, if any, have not been determined and no written agreements exist with respect to such loans. In addition, holders of our Private Placement Warrants are entitled to certain registration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 2025, we registered the Ordinary Shares issuable upon exercise of the these Warrants on a Registration Statement on Form F-1 (File No. 333-265353) which was declared effective by the SEC on April 7,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OCBC Warrant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2025, the Company issued to Oversea-Chinese Banking Corporation Limited (“OCBC”) certain Warrant to Purchase Ordinary Shares of GCL Global Holdings Ltd dated as of July 7, 2025 (the “OCBC Warrant”), in connection with that certain Facility Letter dated as of October 1, 2024, as supplemented by those certain Supplemental Letters dated as of March 12, 2025 and July 7, 2025, between the Holder and Epicsoft Asia Pte. Ltd. (the “Borrower”) which is a wholly-owned subsidiary of the Company for a financing of up to SGD5,000,000 (together, the “Facility Agreement”). On July 29, 2025, the Company and the OCBC entered into Amendment No. 1 to the Warrant (the “Amendment”) to clarify their commercial understanding that none of the terms of the OCBC Warrant shall have any legal effect on the Borrower and/or the Company unless and until the entire SGD 5,000,000 has been disbursed to the Borrower by the Holder under the Facility Agreement; and that the Holder will have no claims for penalties, damages and legal remedies of any kind against either the Company or the Borrower for non-performance of any obligations under the OCBC Warrant. The Amendment also provides that, among other things, until the full amount of SGD5,000,000 is disbursed by OCBC to the Borrower pursuant to the Facility Agreement, (i) the OCBC Warrant shall not be capable of exercise of any kind, and shall remain un-exercisable; and (ii) the Holder will have no rights to Piggyback Registration (as defined in the OCBC Warrant). Under the Amendment, the Company will have six months from the date the full amount of SGD5,000,000 is disbursed to file a registration statement for the public resale of all of the Warrant Shares (as defined in the OCBC Warrant).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k_021"/>
      <w:bookmarkEnd w:id="12"/>
      <w:r>
        <w:rPr>
          <w:rFonts w:ascii="Times New Roman;Times;Serif" w:hAnsi="Times New Roman;Times;Serif"/>
          <w:b/>
          <w:i w:val="false"/>
          <w:caps w:val="false"/>
          <w:smallCaps w:val="false"/>
          <w:sz w:val="20"/>
        </w:rPr>
        <w:t>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among other things, the issuance from time to time by us of up to up to 16,500,000 Ordinary Shares, which consist of (i) up to 11,500,000 Ordinary Shares issuable upon the exercise of 11,500,000 Warrants, which were originally issued as RFAC Public Warrants, and (ii) up to 5,000,000 Ordinary Shares issuable upon the exercise of 5,000,000 Warrants, which were originally issued as RFAC Private Placement Warrants to the Sponsor and EBC.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resale from time to time by the Selling Shareholders named in this prospectus or their permitted transferees of (a) up to 83,456,793 Ordinary Shares, which consist of (i) 80,581,793 Ordinary Shares issued to Epicsoft Ventures in connection with the Business Combination at an implied purchase price of $10.00 per share; and (ii) 2,875,000 Ordinary Shares issued to the Sponsor, which were originally purchased by the Sponsor at approximately $0.009 per share; (b) up to 4,450,500 Ordinary Shares issuable upon the exercise of 4,450,500 Warrants, which were originally issued as RFAC Private Placement Warrants to the Sponsor at a price of $1.00 per warrant; and (c) up to 549,500 Ordinary Shares issuable upon the exercise of 549,500 Warrants, which were originally issued as RFAC Private Placement Warrants to EBC at a price of $1.00 per warrant. The Selling Shareholders may from time to time offer and sell any or all of the securities set forth below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expiration of a lock-up period which is twelve months after the closing of the Business Combination, and for so long as the effective registration statement of which this prospectus forms a part is available for use, Epicsoft Ventures and the Sponsor, collectively the beneficial owners of 83,456,793 Ordinary Shares, constituting approximately 65.2% of our issued and outstanding Ordinary Shares as of the date of this prospectus, can sell under this prospectus (assuming all Warrants are exercised in full), up to 87,907,293 Ordinary Shares constituting approximately 68.7% of the issued and outstanding Ordinary Shares as of the date of this prospectus. Given the substantial number of Ordinary Shares being registered for potential resale by the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prices at which certain Selling Shareholders acquired the securities that they may sell pursuant to this prospectus may be lower than that of our public shareholders, certain Selling Shareholders may experience a positive rate of return on the securities that they sell pursuant to this prospectus and be incentivized to sell such shares, when our public shareholders may not experience a similar rate of return. Certain securities being registered for sale pursuant to this prospectus were purchased by certain Selling Shareholders at prices below the current market price of our Ordinary Shares. Based on the closing price of our Ordinary Shares of $0.47 as of May 12, 2026, the Sponsor (with respect to the Sponsor Founder shares) may experience potential profit of up to $0.461 per share, or an aggregate amount of profit of up to approximately $1.3 million. Accordingly, such Selling Shareholders may have an incentive to sell their securities even if the trading price is lower than the price at which our public shareholders purchased their securities. In connection with the initial public offering of RFAC, RFAC’s initial public shareholders acquired RFAC Public Units at a price of $10.00 per unit, each of which comprises one share of RFAC Common Stock, one RFAC Warrant and one RFAC Right, and trading price of our Ordinary Shares have fluctuated, and may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Shareholders” in this prospectus, we mean the persons listed in the table below, and their donees, pledgees, transferees, assignees, distributees, successors or other successors-in-interest selling securities received after the date of this prospectus from the Selling Shareholders (as a gift, pledge, partnership distribution or other non-sale related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the Selling Shareholders, the aggregate number of the securities beneficially owned by such Selling Shareholder immediately prior to the offering, the number of the securities that may be sold by the Selling Shareholder under this prospectus and the number of Ordinary Shares that the Selling Shareholders will beneficially own after the securities are sold. The persons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advise you as to whether the Selling Shareholders will in fact sell any or all of such securities. In addition, the Selling Shareholders may sell, transfer or otherwise dispose of, at any time and from time to time, Ordinary Shares in transactions exempt from the registration requirements of the Securities Act after the date of this prospectus, subject to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 information for each additional Selling Shareholder, if any, will be set forth by prospectus supplement to the extent required prior to the time of any offer or sale of such Selling Shareholder’s securities pursuant to this prospectus. Any prospectus supplement may add, update, substitute, or change the information contained in this prospectus, including the identity of each Selling Shareholder and the number of Ordinary Shares registered on its behalf. A Selling Shareholder may sell all, some or none of such securities in this offering.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calculations in the table below are based on 128,008,703 Ordinary Shares and 16,500,000 Warrants outstanding as of the date of this prospectus.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80"/>
        <w:gridCol w:w="95"/>
        <w:gridCol w:w="144"/>
        <w:gridCol w:w="1494"/>
        <w:gridCol w:w="95"/>
        <w:gridCol w:w="95"/>
        <w:gridCol w:w="95"/>
        <w:gridCol w:w="475"/>
        <w:gridCol w:w="250"/>
        <w:gridCol w:w="95"/>
        <w:gridCol w:w="124"/>
        <w:gridCol w:w="1502"/>
        <w:gridCol w:w="95"/>
        <w:gridCol w:w="95"/>
        <w:gridCol w:w="160"/>
        <w:gridCol w:w="1448"/>
        <w:gridCol w:w="95"/>
        <w:gridCol w:w="95"/>
        <w:gridCol w:w="95"/>
        <w:gridCol w:w="550"/>
        <w:gridCol w:w="128"/>
      </w:tblGrid>
      <w:tr>
        <w:trPr/>
        <w:tc>
          <w:tcPr>
            <w:tcW w:w="2980" w:type="dxa"/>
            <w:tcBorders>
              <w:bottom w:val="single" w:sz="12" w:space="0" w:color="000000"/>
            </w:tcBorders>
            <w:vAlign w:val="center"/>
          </w:tcPr>
          <w:p>
            <w:pPr>
              <w:pStyle w:val="TableContents"/>
              <w:bidi w:val="0"/>
              <w:spacing w:before="0" w:after="283"/>
              <w:jc w:val="left"/>
              <w:rPr>
                <w:b/>
              </w:rPr>
            </w:pPr>
            <w:r>
              <w:rPr>
                <w:b/>
              </w:rPr>
              <w:t xml:space="preserve">Name of Selling Shareholder </w:t>
            </w:r>
          </w:p>
        </w:tc>
        <w:tc>
          <w:tcPr>
            <w:tcW w:w="95" w:type="dxa"/>
            <w:tcBorders/>
            <w:tcMar>
              <w:bottom w:w="0" w:type="dxa"/>
            </w:tcMar>
            <w:vAlign w:val="center"/>
          </w:tcPr>
          <w:p>
            <w:pPr>
              <w:pStyle w:val="TableContents"/>
              <w:bidi w:val="0"/>
              <w:spacing w:before="0" w:after="283"/>
              <w:jc w:val="left"/>
              <w:rPr/>
            </w:pPr>
            <w:r>
              <w:rPr/>
              <w:t xml:space="preserve">  </w:t>
            </w:r>
          </w:p>
        </w:tc>
        <w:tc>
          <w:tcPr>
            <w:tcW w:w="1638" w:type="dxa"/>
            <w:gridSpan w:val="2"/>
            <w:tcBorders>
              <w:bottom w:val="single" w:sz="12" w:space="0" w:color="000000"/>
            </w:tcBorders>
            <w:vAlign w:val="center"/>
          </w:tcPr>
          <w:p>
            <w:pPr>
              <w:pStyle w:val="TableContents"/>
              <w:bidi w:val="0"/>
              <w:spacing w:before="0" w:after="283"/>
              <w:jc w:val="center"/>
              <w:rPr>
                <w:b/>
              </w:rPr>
            </w:pPr>
            <w:r>
              <w:rPr>
                <w:b/>
              </w:rPr>
              <w:t>Ordinary</w:t>
              <w:br/>
              <w:t>Shares Beneficially</w:t>
              <w:br/>
              <w:t>Owned</w:t>
              <w:br/>
              <w:t>Prior to</w:t>
              <w:br/>
              <w:t xml:space="preserve">this Offering </w:t>
            </w:r>
          </w:p>
        </w:tc>
        <w:tc>
          <w:tcPr>
            <w:tcW w:w="95" w:type="dxa"/>
            <w:tcBorders/>
            <w:tcMar>
              <w:bottom w:w="0" w:type="dxa"/>
            </w:tcMar>
            <w:vAlign w:val="center"/>
          </w:tcPr>
          <w:p>
            <w:pPr>
              <w:pStyle w:val="TableContents"/>
              <w:bidi w:val="0"/>
              <w:spacing w:before="0" w:after="283"/>
              <w:jc w:val="left"/>
              <w:rPr/>
            </w:pPr>
            <w:r>
              <w:rPr/>
              <w:t xml:space="preserve">  </w:t>
            </w:r>
          </w:p>
        </w:tc>
        <w:tc>
          <w:tcPr>
            <w:tcW w:w="95" w:type="dxa"/>
            <w:tcBorders/>
            <w:tcMar>
              <w:bottom w:w="0" w:type="dxa"/>
            </w:tcMar>
            <w:vAlign w:val="center"/>
          </w:tcPr>
          <w:p>
            <w:pPr>
              <w:pStyle w:val="TableContents"/>
              <w:bidi w:val="0"/>
              <w:spacing w:before="0" w:after="283"/>
              <w:jc w:val="left"/>
              <w:rPr/>
            </w:pPr>
            <w:r>
              <w:rPr/>
              <w:t xml:space="preserve">  </w:t>
            </w:r>
          </w:p>
        </w:tc>
        <w:tc>
          <w:tcPr>
            <w:tcW w:w="570" w:type="dxa"/>
            <w:gridSpan w:val="2"/>
            <w:tcBorders>
              <w:bottom w:val="single" w:sz="12" w:space="0" w:color="000000"/>
            </w:tcBorders>
            <w:vAlign w:val="center"/>
          </w:tcPr>
          <w:p>
            <w:pPr>
              <w:pStyle w:val="TableContents"/>
              <w:bidi w:val="0"/>
              <w:spacing w:before="0" w:after="283"/>
              <w:jc w:val="center"/>
              <w:rPr>
                <w:b/>
              </w:rPr>
            </w:pPr>
            <w:r>
              <w:rPr>
                <w:b/>
              </w:rPr>
              <w:t xml:space="preserve">% </w:t>
            </w:r>
          </w:p>
        </w:tc>
        <w:tc>
          <w:tcPr>
            <w:tcW w:w="250" w:type="dxa"/>
            <w:tcBorders/>
            <w:tcMar>
              <w:bottom w:w="0" w:type="dxa"/>
            </w:tcMar>
            <w:vAlign w:val="center"/>
          </w:tcPr>
          <w:p>
            <w:pPr>
              <w:pStyle w:val="TableContents"/>
              <w:bidi w:val="0"/>
              <w:spacing w:before="0" w:after="283"/>
              <w:jc w:val="left"/>
              <w:rPr/>
            </w:pPr>
            <w:r>
              <w:rPr/>
              <w:t xml:space="preserve">  </w:t>
            </w:r>
          </w:p>
        </w:tc>
        <w:tc>
          <w:tcPr>
            <w:tcW w:w="95" w:type="dxa"/>
            <w:tcBorders/>
            <w:tcMar>
              <w:bottom w:w="0" w:type="dxa"/>
            </w:tcMar>
            <w:vAlign w:val="center"/>
          </w:tcPr>
          <w:p>
            <w:pPr>
              <w:pStyle w:val="TableContents"/>
              <w:bidi w:val="0"/>
              <w:spacing w:before="0" w:after="283"/>
              <w:jc w:val="left"/>
              <w:rPr/>
            </w:pPr>
            <w:r>
              <w:rPr/>
              <w:t xml:space="preserve">  </w:t>
            </w:r>
          </w:p>
        </w:tc>
        <w:tc>
          <w:tcPr>
            <w:tcW w:w="1626" w:type="dxa"/>
            <w:gridSpan w:val="2"/>
            <w:tcBorders>
              <w:bottom w:val="single" w:sz="12" w:space="0" w:color="000000"/>
            </w:tcBorders>
            <w:vAlign w:val="center"/>
          </w:tcPr>
          <w:p>
            <w:pPr>
              <w:pStyle w:val="TableContents"/>
              <w:bidi w:val="0"/>
              <w:spacing w:before="0" w:after="283"/>
              <w:jc w:val="center"/>
              <w:rPr>
                <w:b/>
              </w:rPr>
            </w:pPr>
            <w:r>
              <w:rPr>
                <w:b/>
              </w:rPr>
              <w:t>Ordinary</w:t>
              <w:br/>
              <w:t>Shares Registered</w:t>
              <w:br/>
              <w:t>for Sale in</w:t>
              <w:br/>
              <w:t xml:space="preserve">this Offering </w:t>
            </w:r>
          </w:p>
        </w:tc>
        <w:tc>
          <w:tcPr>
            <w:tcW w:w="95" w:type="dxa"/>
            <w:tcBorders/>
            <w:tcMar>
              <w:bottom w:w="0" w:type="dxa"/>
            </w:tcMar>
            <w:vAlign w:val="center"/>
          </w:tcPr>
          <w:p>
            <w:pPr>
              <w:pStyle w:val="TableContents"/>
              <w:bidi w:val="0"/>
              <w:spacing w:before="0" w:after="283"/>
              <w:jc w:val="left"/>
              <w:rPr/>
            </w:pPr>
            <w:r>
              <w:rPr/>
              <w:t xml:space="preserve">  </w:t>
            </w:r>
          </w:p>
        </w:tc>
        <w:tc>
          <w:tcPr>
            <w:tcW w:w="95" w:type="dxa"/>
            <w:tcBorders/>
            <w:tcMar>
              <w:bottom w:w="0" w:type="dxa"/>
            </w:tcMar>
            <w:vAlign w:val="center"/>
          </w:tcPr>
          <w:p>
            <w:pPr>
              <w:pStyle w:val="TableContents"/>
              <w:bidi w:val="0"/>
              <w:spacing w:before="0" w:after="283"/>
              <w:jc w:val="left"/>
              <w:rPr/>
            </w:pPr>
            <w:r>
              <w:rPr/>
              <w:t xml:space="preserve">  </w:t>
            </w:r>
          </w:p>
        </w:tc>
        <w:tc>
          <w:tcPr>
            <w:tcW w:w="1608" w:type="dxa"/>
            <w:gridSpan w:val="2"/>
            <w:tcBorders>
              <w:bottom w:val="single" w:sz="12" w:space="0" w:color="000000"/>
            </w:tcBorders>
            <w:vAlign w:val="center"/>
          </w:tcPr>
          <w:p>
            <w:pPr>
              <w:pStyle w:val="TableContents"/>
              <w:bidi w:val="0"/>
              <w:spacing w:before="0" w:after="283"/>
              <w:jc w:val="center"/>
              <w:rPr>
                <w:b/>
              </w:rPr>
            </w:pPr>
            <w:r>
              <w:rPr>
                <w:b/>
              </w:rPr>
              <w:t xml:space="preserve">Ordinary </w:t>
              <w:br/>
              <w:t>Shares beneficially</w:t>
              <w:br/>
              <w:t xml:space="preserve">owned </w:t>
              <w:br/>
              <w:t>after this</w:t>
              <w:br/>
              <w:t xml:space="preserve">Offering </w:t>
            </w:r>
          </w:p>
        </w:tc>
        <w:tc>
          <w:tcPr>
            <w:tcW w:w="95" w:type="dxa"/>
            <w:tcBorders/>
            <w:tcMar>
              <w:bottom w:w="0" w:type="dxa"/>
            </w:tcMar>
            <w:vAlign w:val="center"/>
          </w:tcPr>
          <w:p>
            <w:pPr>
              <w:pStyle w:val="TableContents"/>
              <w:bidi w:val="0"/>
              <w:spacing w:before="0" w:after="283"/>
              <w:jc w:val="left"/>
              <w:rPr/>
            </w:pPr>
            <w:r>
              <w:rPr/>
              <w:t xml:space="preserve">  </w:t>
            </w:r>
          </w:p>
        </w:tc>
        <w:tc>
          <w:tcPr>
            <w:tcW w:w="95" w:type="dxa"/>
            <w:tcBorders/>
            <w:tcMar>
              <w:bottom w:w="0" w:type="dxa"/>
            </w:tcMar>
            <w:vAlign w:val="center"/>
          </w:tcPr>
          <w:p>
            <w:pPr>
              <w:pStyle w:val="TableContents"/>
              <w:bidi w:val="0"/>
              <w:spacing w:before="0" w:after="283"/>
              <w:jc w:val="left"/>
              <w:rPr/>
            </w:pPr>
            <w:r>
              <w:rPr/>
              <w:t xml:space="preserve">  </w:t>
            </w:r>
          </w:p>
        </w:tc>
        <w:tc>
          <w:tcPr>
            <w:tcW w:w="645" w:type="dxa"/>
            <w:gridSpan w:val="2"/>
            <w:tcBorders>
              <w:bottom w:val="single" w:sz="12" w:space="0" w:color="000000"/>
            </w:tcBorders>
            <w:vAlign w:val="center"/>
          </w:tcPr>
          <w:p>
            <w:pPr>
              <w:pStyle w:val="TableContents"/>
              <w:bidi w:val="0"/>
              <w:spacing w:before="0" w:after="283"/>
              <w:jc w:val="center"/>
              <w:rPr>
                <w:b/>
              </w:rPr>
            </w:pPr>
            <w:r>
              <w:rPr>
                <w:b/>
              </w:rPr>
              <w:t xml:space="preserve">% </w:t>
            </w:r>
          </w:p>
        </w:tc>
        <w:tc>
          <w:tcPr>
            <w:tcW w:w="128" w:type="dxa"/>
            <w:tcBorders/>
            <w:tcMar>
              <w:bottom w:w="0" w:type="dxa"/>
            </w:tcMar>
            <w:vAlign w:val="center"/>
          </w:tcPr>
          <w:p>
            <w:pPr>
              <w:pStyle w:val="TableContents"/>
              <w:bidi w:val="0"/>
              <w:spacing w:before="0" w:after="283"/>
              <w:ind w:left="0" w:right="0" w:hanging="200"/>
              <w:jc w:val="left"/>
              <w:rPr/>
            </w:pPr>
            <w:r>
              <w:rPr/>
              <w:t xml:space="preserve">  </w:t>
            </w:r>
          </w:p>
        </w:tc>
      </w:tr>
      <w:tr>
        <w:trPr/>
        <w:tc>
          <w:tcPr>
            <w:tcW w:w="298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Epicsoft Ventures Ltd.</w:t>
            </w:r>
            <w:r>
              <w:rPr>
                <w:rFonts w:ascii="Times New Roman;Times;Serif" w:hAnsi="Times New Roman;Times;Serif"/>
                <w:position w:val="7"/>
                <w:sz w:val="16"/>
                <w:sz w:val="20"/>
              </w:rPr>
              <w:t>(1)</w:t>
            </w: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144" w:type="dxa"/>
            <w:tcBorders/>
            <w:shd w:fill="CCEEFF" w:val="clear"/>
            <w:tcMar>
              <w:bottom w:w="0" w:type="dxa"/>
            </w:tcMar>
            <w:vAlign w:val="center"/>
          </w:tcPr>
          <w:p>
            <w:pPr>
              <w:pStyle w:val="TableContents"/>
              <w:bidi w:val="0"/>
              <w:spacing w:before="0" w:after="283"/>
              <w:jc w:val="left"/>
              <w:rPr/>
            </w:pPr>
            <w:r>
              <w:rPr/>
              <w:t xml:space="preserve">  </w:t>
            </w:r>
          </w:p>
        </w:tc>
        <w:tc>
          <w:tcPr>
            <w:tcW w:w="1494" w:type="dxa"/>
            <w:tcBorders/>
            <w:shd w:fill="CCEEFF" w:val="clear"/>
            <w:tcMar>
              <w:bottom w:w="0" w:type="dxa"/>
            </w:tcMar>
            <w:vAlign w:val="center"/>
          </w:tcPr>
          <w:p>
            <w:pPr>
              <w:pStyle w:val="TableContents"/>
              <w:bidi w:val="0"/>
              <w:spacing w:before="0" w:after="283"/>
              <w:jc w:val="right"/>
              <w:rPr/>
            </w:pPr>
            <w:r>
              <w:rPr/>
              <w:t xml:space="preserve">80,581,793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475" w:type="dxa"/>
            <w:tcBorders/>
            <w:shd w:fill="CCEEFF" w:val="clear"/>
            <w:tcMar>
              <w:bottom w:w="0" w:type="dxa"/>
            </w:tcMar>
            <w:vAlign w:val="center"/>
          </w:tcPr>
          <w:p>
            <w:pPr>
              <w:pStyle w:val="TableContents"/>
              <w:bidi w:val="0"/>
              <w:spacing w:before="0" w:after="283"/>
              <w:jc w:val="right"/>
              <w:rPr/>
            </w:pPr>
            <w:r>
              <w:rPr/>
              <w:t xml:space="preserve">63.0 </w:t>
            </w:r>
          </w:p>
        </w:tc>
        <w:tc>
          <w:tcPr>
            <w:tcW w:w="250"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124" w:type="dxa"/>
            <w:tcBorders/>
            <w:shd w:fill="CCEEFF" w:val="clear"/>
            <w:tcMar>
              <w:bottom w:w="0" w:type="dxa"/>
            </w:tcMar>
            <w:vAlign w:val="center"/>
          </w:tcPr>
          <w:p>
            <w:pPr>
              <w:pStyle w:val="TableContents"/>
              <w:bidi w:val="0"/>
              <w:spacing w:before="0" w:after="283"/>
              <w:jc w:val="left"/>
              <w:rPr/>
            </w:pPr>
            <w:r>
              <w:rPr/>
              <w:t xml:space="preserve">  </w:t>
            </w:r>
          </w:p>
        </w:tc>
        <w:tc>
          <w:tcPr>
            <w:tcW w:w="1502" w:type="dxa"/>
            <w:tcBorders/>
            <w:shd w:fill="CCEEFF" w:val="clear"/>
            <w:tcMar>
              <w:bottom w:w="0" w:type="dxa"/>
            </w:tcMar>
            <w:vAlign w:val="center"/>
          </w:tcPr>
          <w:p>
            <w:pPr>
              <w:pStyle w:val="TableContents"/>
              <w:bidi w:val="0"/>
              <w:spacing w:before="0" w:after="283"/>
              <w:jc w:val="right"/>
              <w:rPr/>
            </w:pPr>
            <w:r>
              <w:rPr/>
              <w:t xml:space="preserve">80,581,793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160" w:type="dxa"/>
            <w:tcBorders/>
            <w:shd w:fill="CCEEFF" w:val="clear"/>
            <w:tcMar>
              <w:bottom w:w="0" w:type="dxa"/>
            </w:tcMar>
            <w:vAlign w:val="center"/>
          </w:tcPr>
          <w:p>
            <w:pPr>
              <w:pStyle w:val="TableContents"/>
              <w:bidi w:val="0"/>
              <w:spacing w:before="0" w:after="283"/>
              <w:jc w:val="left"/>
              <w:rPr/>
            </w:pPr>
            <w:r>
              <w:rPr/>
              <w:t xml:space="preserve">  </w:t>
            </w:r>
          </w:p>
        </w:tc>
        <w:tc>
          <w:tcPr>
            <w:tcW w:w="1448"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550"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28"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298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RF Dynamic LLC</w:t>
            </w:r>
            <w:r>
              <w:rPr>
                <w:rFonts w:ascii="Times New Roman;Times;Serif" w:hAnsi="Times New Roman;Times;Serif"/>
                <w:position w:val="7"/>
                <w:sz w:val="16"/>
                <w:sz w:val="20"/>
              </w:rPr>
              <w:t>(2)</w:t>
            </w: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144" w:type="dxa"/>
            <w:tcBorders/>
            <w:shd w:fill="FFFFFF" w:val="clear"/>
            <w:tcMar>
              <w:bottom w:w="0" w:type="dxa"/>
            </w:tcMar>
            <w:vAlign w:val="center"/>
          </w:tcPr>
          <w:p>
            <w:pPr>
              <w:pStyle w:val="TableContents"/>
              <w:bidi w:val="0"/>
              <w:spacing w:before="0" w:after="283"/>
              <w:jc w:val="left"/>
              <w:rPr/>
            </w:pPr>
            <w:r>
              <w:rPr/>
              <w:t xml:space="preserve">  </w:t>
            </w:r>
          </w:p>
        </w:tc>
        <w:tc>
          <w:tcPr>
            <w:tcW w:w="1494" w:type="dxa"/>
            <w:tcBorders/>
            <w:shd w:fill="FFFFFF" w:val="clear"/>
            <w:tcMar>
              <w:bottom w:w="0" w:type="dxa"/>
            </w:tcMar>
            <w:vAlign w:val="center"/>
          </w:tcPr>
          <w:p>
            <w:pPr>
              <w:pStyle w:val="TableContents"/>
              <w:bidi w:val="0"/>
              <w:spacing w:before="0" w:after="283"/>
              <w:jc w:val="right"/>
              <w:rPr/>
            </w:pPr>
            <w:r>
              <w:rPr/>
              <w:t xml:space="preserve">7,325,500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475" w:type="dxa"/>
            <w:tcBorders/>
            <w:shd w:fill="FFFFFF" w:val="clear"/>
            <w:tcMar>
              <w:bottom w:w="0" w:type="dxa"/>
            </w:tcMar>
            <w:vAlign w:val="center"/>
          </w:tcPr>
          <w:p>
            <w:pPr>
              <w:pStyle w:val="TableContents"/>
              <w:bidi w:val="0"/>
              <w:spacing w:before="0" w:after="283"/>
              <w:jc w:val="right"/>
              <w:rPr/>
            </w:pPr>
            <w:r>
              <w:rPr/>
              <w:t xml:space="preserve">5.5 </w:t>
            </w:r>
          </w:p>
        </w:tc>
        <w:tc>
          <w:tcPr>
            <w:tcW w:w="250" w:type="dxa"/>
            <w:tcBorders/>
            <w:shd w:fill="FFFFFF" w:val="clear"/>
            <w:tcMar>
              <w:bottom w:w="0" w:type="dxa"/>
            </w:tcMar>
            <w:vAlign w:val="center"/>
          </w:tcPr>
          <w:p>
            <w:pPr>
              <w:pStyle w:val="TableContents"/>
              <w:bidi w:val="0"/>
              <w:spacing w:before="0" w:after="283"/>
              <w:jc w:val="left"/>
              <w:rPr/>
            </w:pP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124" w:type="dxa"/>
            <w:tcBorders/>
            <w:shd w:fill="FFFFFF" w:val="clear"/>
            <w:tcMar>
              <w:bottom w:w="0" w:type="dxa"/>
            </w:tcMar>
            <w:vAlign w:val="center"/>
          </w:tcPr>
          <w:p>
            <w:pPr>
              <w:pStyle w:val="TableContents"/>
              <w:bidi w:val="0"/>
              <w:spacing w:before="0" w:after="283"/>
              <w:jc w:val="left"/>
              <w:rPr/>
            </w:pPr>
            <w:r>
              <w:rPr/>
              <w:t xml:space="preserve">  </w:t>
            </w:r>
          </w:p>
        </w:tc>
        <w:tc>
          <w:tcPr>
            <w:tcW w:w="1502" w:type="dxa"/>
            <w:tcBorders/>
            <w:shd w:fill="FFFFFF" w:val="clear"/>
            <w:tcMar>
              <w:bottom w:w="0" w:type="dxa"/>
            </w:tcMar>
            <w:vAlign w:val="center"/>
          </w:tcPr>
          <w:p>
            <w:pPr>
              <w:pStyle w:val="TableContents"/>
              <w:bidi w:val="0"/>
              <w:spacing w:before="0" w:after="283"/>
              <w:jc w:val="right"/>
              <w:rPr/>
            </w:pPr>
            <w:r>
              <w:rPr/>
              <w:t xml:space="preserve">7,325,500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160" w:type="dxa"/>
            <w:tcBorders/>
            <w:shd w:fill="FFFFFF" w:val="clear"/>
            <w:tcMar>
              <w:bottom w:w="0" w:type="dxa"/>
            </w:tcMar>
            <w:vAlign w:val="center"/>
          </w:tcPr>
          <w:p>
            <w:pPr>
              <w:pStyle w:val="TableContents"/>
              <w:bidi w:val="0"/>
              <w:spacing w:before="0" w:after="283"/>
              <w:jc w:val="left"/>
              <w:rPr/>
            </w:pPr>
            <w:r>
              <w:rPr/>
              <w:t xml:space="preserve">  </w:t>
            </w:r>
          </w:p>
        </w:tc>
        <w:tc>
          <w:tcPr>
            <w:tcW w:w="1448" w:type="dxa"/>
            <w:tcBorders/>
            <w:shd w:fill="FFFFFF" w:val="clear"/>
            <w:tcMar>
              <w:bottom w:w="0" w:type="dxa"/>
            </w:tcMar>
            <w:vAlign w:val="center"/>
          </w:tcPr>
          <w:p>
            <w:pPr>
              <w:pStyle w:val="TableContents"/>
              <w:bidi w:val="0"/>
              <w:spacing w:before="0" w:after="283"/>
              <w:jc w:val="right"/>
              <w:rPr/>
            </w:pP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550" w:type="dxa"/>
            <w:tcBorders/>
            <w:shd w:fill="FFFFFF" w:val="clear"/>
            <w:tcMar>
              <w:bottom w:w="0" w:type="dxa"/>
            </w:tcMar>
            <w:vAlign w:val="center"/>
          </w:tcPr>
          <w:p>
            <w:pPr>
              <w:pStyle w:val="TableContents"/>
              <w:bidi w:val="0"/>
              <w:spacing w:before="0" w:after="283"/>
              <w:jc w:val="right"/>
              <w:rPr/>
            </w:pPr>
            <w:r>
              <w:rPr/>
              <w:t xml:space="preserve">- </w:t>
            </w:r>
          </w:p>
        </w:tc>
        <w:tc>
          <w:tcPr>
            <w:tcW w:w="128"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298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EarlyBirdCapital Inc.</w:t>
            </w:r>
            <w:r>
              <w:rPr>
                <w:rFonts w:ascii="Times New Roman;Times;Serif" w:hAnsi="Times New Roman;Times;Serif"/>
                <w:position w:val="7"/>
                <w:sz w:val="16"/>
                <w:sz w:val="20"/>
              </w:rPr>
              <w:t>(3)</w:t>
            </w: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144" w:type="dxa"/>
            <w:tcBorders/>
            <w:shd w:fill="CCEEFF" w:val="clear"/>
            <w:tcMar>
              <w:bottom w:w="0" w:type="dxa"/>
            </w:tcMar>
            <w:vAlign w:val="center"/>
          </w:tcPr>
          <w:p>
            <w:pPr>
              <w:pStyle w:val="TableContents"/>
              <w:bidi w:val="0"/>
              <w:spacing w:before="0" w:after="283"/>
              <w:jc w:val="left"/>
              <w:rPr/>
            </w:pPr>
            <w:r>
              <w:rPr/>
              <w:t xml:space="preserve">  </w:t>
            </w:r>
          </w:p>
        </w:tc>
        <w:tc>
          <w:tcPr>
            <w:tcW w:w="1494" w:type="dxa"/>
            <w:tcBorders/>
            <w:shd w:fill="CCEEFF" w:val="clear"/>
            <w:tcMar>
              <w:bottom w:w="0" w:type="dxa"/>
            </w:tcMar>
            <w:vAlign w:val="center"/>
          </w:tcPr>
          <w:p>
            <w:pPr>
              <w:pStyle w:val="TableContents"/>
              <w:bidi w:val="0"/>
              <w:spacing w:before="0" w:after="283"/>
              <w:jc w:val="right"/>
              <w:rPr/>
            </w:pPr>
            <w:r>
              <w:rPr/>
              <w:t xml:space="preserve">549,500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475" w:type="dxa"/>
            <w:tcBorders/>
            <w:shd w:fill="CCEEFF" w:val="clear"/>
            <w:tcMar>
              <w:bottom w:w="0" w:type="dxa"/>
            </w:tcMar>
            <w:vAlign w:val="center"/>
          </w:tcPr>
          <w:p>
            <w:pPr>
              <w:pStyle w:val="TableContents"/>
              <w:bidi w:val="0"/>
              <w:spacing w:before="0" w:after="283"/>
              <w:jc w:val="right"/>
              <w:rPr/>
            </w:pPr>
            <w:r>
              <w:rPr/>
              <w:t xml:space="preserve">- </w:t>
            </w:r>
          </w:p>
        </w:tc>
        <w:tc>
          <w:tcPr>
            <w:tcW w:w="250"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124" w:type="dxa"/>
            <w:tcBorders/>
            <w:shd w:fill="CCEEFF" w:val="clear"/>
            <w:tcMar>
              <w:bottom w:w="0" w:type="dxa"/>
            </w:tcMar>
            <w:vAlign w:val="center"/>
          </w:tcPr>
          <w:p>
            <w:pPr>
              <w:pStyle w:val="TableContents"/>
              <w:bidi w:val="0"/>
              <w:spacing w:before="0" w:after="283"/>
              <w:jc w:val="left"/>
              <w:rPr/>
            </w:pPr>
            <w:r>
              <w:rPr/>
              <w:t xml:space="preserve">  </w:t>
            </w:r>
          </w:p>
        </w:tc>
        <w:tc>
          <w:tcPr>
            <w:tcW w:w="1502" w:type="dxa"/>
            <w:tcBorders/>
            <w:shd w:fill="CCEEFF" w:val="clear"/>
            <w:tcMar>
              <w:bottom w:w="0" w:type="dxa"/>
            </w:tcMar>
            <w:vAlign w:val="center"/>
          </w:tcPr>
          <w:p>
            <w:pPr>
              <w:pStyle w:val="TableContents"/>
              <w:bidi w:val="0"/>
              <w:spacing w:before="0" w:after="283"/>
              <w:jc w:val="right"/>
              <w:rPr/>
            </w:pPr>
            <w:r>
              <w:rPr/>
              <w:t xml:space="preserve">549,500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160" w:type="dxa"/>
            <w:tcBorders/>
            <w:shd w:fill="CCEEFF" w:val="clear"/>
            <w:tcMar>
              <w:bottom w:w="0" w:type="dxa"/>
            </w:tcMar>
            <w:vAlign w:val="center"/>
          </w:tcPr>
          <w:p>
            <w:pPr>
              <w:pStyle w:val="TableContents"/>
              <w:bidi w:val="0"/>
              <w:spacing w:before="0" w:after="283"/>
              <w:jc w:val="left"/>
              <w:rPr/>
            </w:pPr>
            <w:r>
              <w:rPr/>
              <w:t xml:space="preserve">  </w:t>
            </w:r>
          </w:p>
        </w:tc>
        <w:tc>
          <w:tcPr>
            <w:tcW w:w="1448" w:type="dxa"/>
            <w:tcBorders/>
            <w:shd w:fill="CCEEFF" w:val="clear"/>
            <w:tcMar>
              <w:bottom w:w="0" w:type="dxa"/>
            </w:tcMar>
            <w:vAlign w:val="center"/>
          </w:tcPr>
          <w:p>
            <w:pPr>
              <w:pStyle w:val="TableContents"/>
              <w:bidi w:val="0"/>
              <w:spacing w:before="0" w:after="283"/>
              <w:jc w:val="righ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550" w:type="dxa"/>
            <w:tcBorders/>
            <w:shd w:fill="CCEEFF" w:val="clear"/>
            <w:tcMar>
              <w:bottom w:w="0" w:type="dxa"/>
            </w:tcMar>
            <w:vAlign w:val="center"/>
          </w:tcPr>
          <w:p>
            <w:pPr>
              <w:pStyle w:val="TableContents"/>
              <w:bidi w:val="0"/>
              <w:spacing w:before="0" w:after="283"/>
              <w:jc w:val="right"/>
              <w:rPr/>
            </w:pPr>
            <w:r>
              <w:rPr/>
              <w:t xml:space="preserve">- </w:t>
            </w:r>
          </w:p>
        </w:tc>
        <w:tc>
          <w:tcPr>
            <w:tcW w:w="128" w:type="dxa"/>
            <w:tcBorders/>
            <w:shd w:fill="CCEE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4143" w:type="dxa"/>
        <w:jc w:val="left"/>
        <w:tblInd w:w="0" w:type="dxa"/>
        <w:tblLayout w:type="fixed"/>
        <w:tblCellMar>
          <w:top w:w="0" w:type="dxa"/>
          <w:left w:w="0" w:type="dxa"/>
          <w:bottom w:w="0" w:type="dxa"/>
          <w:right w:w="0" w:type="dxa"/>
        </w:tblCellMar>
      </w:tblPr>
      <w:tblGrid>
        <w:gridCol w:w="38"/>
        <w:gridCol w:w="125"/>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20"/>
              </w:rPr>
            </w:pPr>
            <w:r>
              <w:rPr>
                <w:rFonts w:ascii="Times New Roman;Times;Serif" w:hAnsi="Times New Roman;Times;Serif"/>
                <w:sz w:val="20"/>
              </w:rPr>
              <w:t>(1)</w:t>
            </w:r>
            <w:r>
              <w:rPr>
                <w:sz w:val="20"/>
              </w:rPr>
              <w:t xml:space="preserve"> </w:t>
            </w:r>
          </w:p>
        </w:tc>
        <w:tc>
          <w:tcPr>
            <w:tcW w:w="9915" w:type="dxa"/>
            <w:tcBorders/>
            <w:vAlign w:val="center"/>
          </w:tcPr>
          <w:p>
            <w:pPr>
              <w:pStyle w:val="TableContents"/>
              <w:bidi w:val="0"/>
              <w:spacing w:before="0" w:after="283"/>
              <w:jc w:val="both"/>
              <w:rPr>
                <w:sz w:val="20"/>
              </w:rPr>
            </w:pPr>
            <w:r>
              <w:rPr>
                <w:rFonts w:ascii="Times New Roman;Times;Serif" w:hAnsi="Times New Roman;Times;Serif"/>
                <w:sz w:val="20"/>
              </w:rPr>
              <w:t>Comprises of 80,581,793 Ordinary Shares issued to Epicsoft Ventures Ltd. as merger consideration. The address of Epicsoft Ventures is 29 Tai Seng Ave., #02-01, Singapore 534119.</w:t>
            </w:r>
            <w:r>
              <w:rPr>
                <w:sz w:val="20"/>
              </w:rPr>
              <w:t xml:space="preserve"> </w:t>
            </w:r>
          </w:p>
        </w:tc>
      </w:tr>
    </w:tbl>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rFonts w:ascii="Times New Roman;Times;Serif" w:hAnsi="Times New Roman;Times;Serif"/>
                <w:sz w:val="20"/>
              </w:rPr>
              <w:t>(2)</w:t>
            </w:r>
            <w:r>
              <w:rPr>
                <w:sz w:val="20"/>
              </w:rPr>
              <w:t xml:space="preserve"> </w:t>
            </w:r>
          </w:p>
        </w:tc>
        <w:tc>
          <w:tcPr>
            <w:tcW w:w="9968" w:type="dxa"/>
            <w:tcBorders/>
            <w:vAlign w:val="center"/>
          </w:tcPr>
          <w:p>
            <w:pPr>
              <w:pStyle w:val="TableContents"/>
              <w:bidi w:val="0"/>
              <w:spacing w:before="0" w:after="283"/>
              <w:jc w:val="both"/>
              <w:rPr>
                <w:sz w:val="20"/>
              </w:rPr>
            </w:pPr>
            <w:r>
              <w:rPr>
                <w:rFonts w:ascii="Times New Roman;Times;Serif" w:hAnsi="Times New Roman;Times;Serif"/>
                <w:sz w:val="20"/>
              </w:rPr>
              <w:t>Shares beneficially owned is comprised of (i) 2,875,000 Ordinary Shares issued to the Sponsor in exchange for the same number of shares of RFAC Common Stock held by the Sponsor immediately prior to the Closing of Business Combination; and (ii) up to 4,450,500 Ordinary Shares issuable upon exercise of 4,450,500 Warrants. RF Dynamic LLC is the record holder of the securities reported herein. Tse Meng Ng is the sole member and manager of RF Dynamic LLC and has voting and investment discretion with respect to the securities held of record by the Sponsor. Tse Meng Ng disclaims any beneficial ownership of any shares held by the Sponsor except to the extent of his respective pecuniary interest therein. The business address of RF Dynamic LLC is 111 Somerset Road, #05-06, Singapore 238164.</w:t>
            </w:r>
            <w:r>
              <w:rPr>
                <w:sz w:val="20"/>
              </w:rPr>
              <w:t xml:space="preserve"> </w:t>
            </w:r>
          </w:p>
        </w:tc>
      </w:tr>
    </w:tbl>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rFonts w:ascii="Times New Roman;Times;Serif" w:hAnsi="Times New Roman;Times;Serif"/>
                <w:sz w:val="20"/>
              </w:rPr>
              <w:t>(3)</w:t>
            </w:r>
            <w:r>
              <w:rPr>
                <w:sz w:val="20"/>
              </w:rPr>
              <w:t xml:space="preserve"> </w:t>
            </w:r>
          </w:p>
        </w:tc>
        <w:tc>
          <w:tcPr>
            <w:tcW w:w="9955" w:type="dxa"/>
            <w:tcBorders/>
            <w:vAlign w:val="center"/>
          </w:tcPr>
          <w:p>
            <w:pPr>
              <w:pStyle w:val="TableContents"/>
              <w:bidi w:val="0"/>
              <w:spacing w:before="0" w:after="283"/>
              <w:jc w:val="both"/>
              <w:rPr>
                <w:sz w:val="20"/>
              </w:rPr>
            </w:pPr>
            <w:r>
              <w:rPr>
                <w:rFonts w:ascii="Times New Roman;Times;Serif" w:hAnsi="Times New Roman;Times;Serif"/>
                <w:sz w:val="20"/>
              </w:rPr>
              <w:t>Shares beneficially owned is comprised of 549,500 Ordinary Shares issuable upon exercise of 549,500 Warrants . EarlyBirdCapital Inc. is the record holder of the securities reported herein. David Nussbaum, Steven Levine and Amy Kaufmann have voting and investment discretion with respect to the securities held of record by EBC. The address of EBC is One Huntington Quadrangle 1C15, Melville, NY 11747.</w:t>
            </w:r>
            <w:r>
              <w:rPr>
                <w:sz w:val="20"/>
              </w:rPr>
              <w:t xml:space="preserve">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k_022"/>
      <w:bookmarkEnd w:id="13"/>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issuance by us of up to 16,500,000 Ordinary Shares, which consist of (i) up to 11,500,000 Ordinary Shares issuable upon the exercise of 11,500,000 Warrants, which were originally issued as RFAC Public Warrants, and (ii) up to 5,000,000 Ordinary Shares issuable upon the exercise of 5,000,000 Warrants, which were originally issued as RFAC Private Placement Warrants to the Sponsor and EBC.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offer and resale, from time to time, by the Selling Shareholders named in this prospectus, including their donees, pledgees, transferees, assignees, distributees, successors or other successors-in-interest selling securities received after the date of this prospectus from the Selling Shareholders (as a gift, pledge, partnership distribution or other non-sale related transfer), of (a) up to 83,456,793 Ordinary Shares and (b) up to 5,000,000 Ordinary Shares underlying 5,000,000 Warrants, held by certain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any sale by the Selling Shareholders of Ordinary Shares being registered hereunder, except that we will receive up to an aggregate of $189.75 million from the exercise of Warrants, assuming the exercise in full of all of Warrants for cash.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for details. We will bear all costs, expenses and fees in connection with the registration of the securities offered by this prospectus, whereas the Selling Shareholders will bear all incremental selling expenses, including commissions, brokerage fees and other similar selling expenses. The Selling Shareholders reserve the right to accept and, together with their respective agents, to reject, any proposed purchases of registered Ordinary Shares to be made directly or through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sell, from time to time, some or all of the securities covered by this prospectus. As used herein, “Selling Shareholders” includes donees, pledgees, transferees, assignees, distributees, successors or other successors-in-interest selling securities received after the date of this prospectus from the Selling Shareholders (as a gift, pledge, partnership distribution or other non-sale related transfer). We have registered the securities covered by this prospectus for offer and sale so that those securities may be freely sold to the public by the Selling Shareholders. Registration of the securities covered by this prospectus does not mean, however, that those securities necessarily will be offered or resold by the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in one or more transactions at:</w:t>
      </w:r>
    </w:p>
    <w:p>
      <w:pPr>
        <w:pStyle w:val="TextBody"/>
        <w:bidi w:val="0"/>
        <w:spacing w:before="0" w:after="0"/>
        <w:ind w:left="960" w:right="0" w:hanging="360"/>
        <w:jc w:val="both"/>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170"/>
        <w:gridCol w:w="1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prices;</w:t>
            </w:r>
          </w:p>
        </w:tc>
      </w:tr>
    </w:tbl>
    <w:p>
      <w:pPr>
        <w:pStyle w:val="TextBody"/>
        <w:bidi w:val="0"/>
        <w:spacing w:before="0" w:after="0"/>
        <w:ind w:left="960" w:right="0" w:hanging="36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market prices at the time of sale;</w:t>
            </w:r>
          </w:p>
        </w:tc>
      </w:tr>
    </w:tbl>
    <w:p>
      <w:pPr>
        <w:pStyle w:val="TextBody"/>
        <w:bidi w:val="0"/>
        <w:spacing w:before="0" w:after="0"/>
        <w:ind w:left="960" w:right="0" w:hanging="36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such prevailing market prices;</w:t>
            </w:r>
          </w:p>
        </w:tc>
      </w:tr>
    </w:tbl>
    <w:p>
      <w:pPr>
        <w:pStyle w:val="TextBody"/>
        <w:bidi w:val="0"/>
        <w:spacing w:before="0" w:after="0"/>
        <w:ind w:left="960" w:right="0" w:hanging="36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prices determined at the time of sale; or</w:t>
            </w:r>
          </w:p>
        </w:tc>
      </w:tr>
    </w:tbl>
    <w:p>
      <w:pPr>
        <w:pStyle w:val="TextBody"/>
        <w:bidi w:val="0"/>
        <w:spacing w:before="0" w:after="0"/>
        <w:ind w:left="960" w:right="0" w:hanging="36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use any one or more of the following methods when disposing of the securities:</w:t>
      </w:r>
    </w:p>
    <w:p>
      <w:pPr>
        <w:pStyle w:val="TextBody"/>
        <w:bidi w:val="0"/>
        <w:spacing w:before="0" w:after="0"/>
        <w:ind w:left="96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to or through broker-dealer or agents, including purchases by a broker-dealer as principal and resale by the broker-dealer for their account or transactions in which broker-dealers may agree with the Selling Shareholders to sell a specified number of such shares at a stipulated price per share</w:t>
            </w:r>
          </w:p>
        </w:tc>
      </w:tr>
    </w:tbl>
    <w:p>
      <w:pPr>
        <w:pStyle w:val="TextBody"/>
        <w:bidi w:val="0"/>
        <w:spacing w:before="0" w:after="0"/>
        <w:ind w:left="960" w:right="0" w:hanging="36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trading plans entered into by a Selling Shareholder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spacing w:before="0" w:after="0"/>
        <w:ind w:left="960" w:right="0" w:hanging="36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underwritten offerings on a firm commitment or best efforts basis;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purchasers, including through a specific bidding, auction or other process or in privately negotiated transactions;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and/or settlement thereof effected after the date the registration statement of which this prospectus is a part is declared effective by the SEC;</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spacing w:before="0" w:after="0"/>
        <w:ind w:left="960" w:right="0" w:hanging="36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bl>
    <w:p>
      <w:pPr>
        <w:pStyle w:val="TextBody"/>
        <w:bidi w:val="0"/>
        <w:spacing w:before="0" w:after="0"/>
        <w:ind w:left="960" w:right="0" w:hanging="36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offer the securities directly or utilize broker-dealers or other agents. In effecting sales, brokers or dealers engaged by the Selling Shareholders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or transactions in which the broker-dealer solicits purchasers. Such broker-dealers may receive compensation in the form of discounts, concessions or commissions from the Selling Shareholders and/or the purchasers of the securities offered hereby for whom such broker-dealers may act as agents or to whom they sell as principal, or both (which compensation as to a particular broker-dealer might be in excess of customary commissions). The Selling Shareholders and any underwriters, broker-dealers or agents that participate in the sale of the securities covered by this prospectus may be “underwriters” within the meaning of Section 2(a)(11) of the Securities Act. Any discounts, commissions, concessions or profit they earn on any resale of the shares may be underwriting discounts and commissions under the Securities Act. Selling Shareholders who are “underwriters” within the meaning of Section 2(a)(11) of the Securities Act will be subject to the prospectus delivery requirements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Shareholder that is an entity may elect to make a pro rata in-kind distribution of the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Shareholders will sell all or any of the securities offered by this prospectus. In addition, the Selling Shareholders may also sell the securities under Rule 144 under the Securities Act, if available, or in other transactions exempt from registration, rather than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have the sole and absolute discretion not to accept any purchase offer or make any sale of the securities if they deem the purchase price to be unsatisfactory at any particular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securities owned by them and, if they default in the performance of their secured obligations, the pledgees or secured parties may offer and sell such securities,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securities in other circumstances, in which case the donees, pledgees, transferees, assignees, distributees, successors or other successors-in-interest will be the selling beneficial owners for purposes of this prospectus. Upon being notified by a Selling Shareholder that a donee, pledgee, transferee, assignee, distributee, successor or other successor-in-interest intends to sell our securities, we will, to the extent required, promptly file a supplement to this prospectus to name specifically such person as a Selling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being notified by any Selling Shareholders that any material arrangement has been entered into with a broker-dealer for the sale of the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pStyle w:val="TextBody"/>
        <w:bidi w:val="0"/>
        <w:spacing w:before="0" w:after="0"/>
        <w:ind w:left="960" w:right="0" w:hanging="36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participating broker-dealer(s);</w:t>
            </w:r>
          </w:p>
        </w:tc>
      </w:tr>
    </w:tbl>
    <w:p>
      <w:pPr>
        <w:pStyle w:val="TextBody"/>
        <w:bidi w:val="0"/>
        <w:spacing w:before="0" w:after="0"/>
        <w:ind w:left="960" w:right="0" w:hanging="36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securities involved;</w:t>
            </w:r>
          </w:p>
        </w:tc>
      </w:tr>
    </w:tbl>
    <w:p>
      <w:pPr>
        <w:pStyle w:val="TextBody"/>
        <w:bidi w:val="0"/>
        <w:spacing w:before="0" w:after="0"/>
        <w:ind w:left="960" w:right="0" w:hanging="36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price at which such securities are to be sold;</w:t>
            </w:r>
          </w:p>
        </w:tc>
      </w:tr>
    </w:tbl>
    <w:p>
      <w:pPr>
        <w:pStyle w:val="TextBody"/>
        <w:bidi w:val="0"/>
        <w:spacing w:before="0" w:after="0"/>
        <w:ind w:left="960" w:right="0" w:hanging="36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paid or discounts or concessions allowed to such broker-dealer(s), where applicable; and</w:t>
            </w:r>
          </w:p>
        </w:tc>
      </w:tr>
    </w:tbl>
    <w:p>
      <w:pPr>
        <w:pStyle w:val="TextBody"/>
        <w:bidi w:val="0"/>
        <w:spacing w:before="0" w:after="0"/>
        <w:ind w:left="960" w:right="0" w:hanging="36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facts material to the transaction.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Shareholders. The Selling Shareholders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Shareholders who is a party to the Registration Rights Agreement (including their respective permitted transferee) and their respective officers, employees, affiliates, directors, partners, members, attorneys and agents and each person who controls such Selling Shareholders against certain liabilities. Such Selling Shareholders have agreed, severally and not jointly, to indemnify us and our directors and officers in certain circumstances against certain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Shareholders to keep the registration statement of which this prospectus constitutes a part effective until all of the securities covered by this prospectus have been disposed of pursuant to and in accordance with the registration statement or the securities have been withdrawn.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b_001"/>
      <w:bookmarkEnd w:id="14"/>
      <w:r>
        <w:rPr>
          <w:rFonts w:ascii="Times New Roman;Times;Serif" w:hAnsi="Times New Roman;Times;Serif"/>
          <w:b/>
          <w:i w:val="false"/>
          <w:caps w:val="false"/>
          <w:smallCaps w:val="false"/>
          <w:sz w:val="20"/>
        </w:rPr>
        <w:t>EXPENSES RELATING TO THIS OFFERING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the following expenses in connection with the offer and resale of the Ordinary Shares by the Selling Shareholders. With the exception of the SEC registration fee, all amounts are estimates. </w:t>
      </w:r>
    </w:p>
    <w:p>
      <w:pPr>
        <w:pStyle w:val="TextBody"/>
        <w:bidi w:val="0"/>
        <w:spacing w:before="0" w:after="0"/>
        <w:ind w:left="0" w:right="0" w:firstLine="720"/>
        <w:jc w:val="both"/>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4070"/>
        <w:gridCol w:w="120"/>
        <w:gridCol w:w="200"/>
        <w:gridCol w:w="740"/>
        <w:gridCol w:w="135"/>
      </w:tblGrid>
      <w:tr>
        <w:trPr/>
        <w:tc>
          <w:tcPr>
            <w:tcW w:w="4070" w:type="dxa"/>
            <w:tcBorders>
              <w:bottom w:val="single" w:sz="12" w:space="0" w:color="000000"/>
            </w:tcBorders>
            <w:vAlign w:val="center"/>
          </w:tcPr>
          <w:p>
            <w:pPr>
              <w:pStyle w:val="TableContents"/>
              <w:bidi w:val="0"/>
              <w:spacing w:before="0" w:after="283"/>
              <w:jc w:val="left"/>
              <w:rPr>
                <w:b/>
              </w:rPr>
            </w:pPr>
            <w:r>
              <w:rPr>
                <w:b/>
              </w:rPr>
              <w:t xml:space="preserve">Expenses </w:t>
            </w:r>
          </w:p>
        </w:tc>
        <w:tc>
          <w:tcPr>
            <w:tcW w:w="120" w:type="dxa"/>
            <w:tcBorders/>
            <w:tcMar>
              <w:bottom w:w="0" w:type="dxa"/>
            </w:tcMar>
            <w:vAlign w:val="center"/>
          </w:tcPr>
          <w:p>
            <w:pPr>
              <w:pStyle w:val="TableContents"/>
              <w:bidi w:val="0"/>
              <w:spacing w:before="0" w:after="283"/>
              <w:jc w:val="left"/>
              <w:rPr/>
            </w:pPr>
            <w:r>
              <w:rPr/>
              <w:t xml:space="preserve">  </w:t>
            </w:r>
          </w:p>
        </w:tc>
        <w:tc>
          <w:tcPr>
            <w:tcW w:w="940" w:type="dxa"/>
            <w:gridSpan w:val="2"/>
            <w:tcBorders>
              <w:bottom w:val="single" w:sz="12" w:space="0" w:color="000000"/>
            </w:tcBorders>
            <w:vAlign w:val="center"/>
          </w:tcPr>
          <w:p>
            <w:pPr>
              <w:pStyle w:val="TableContents"/>
              <w:bidi w:val="0"/>
              <w:spacing w:before="0" w:after="283"/>
              <w:jc w:val="center"/>
              <w:rPr>
                <w:b/>
              </w:rPr>
            </w:pPr>
            <w:r>
              <w:rPr>
                <w:b/>
              </w:rPr>
              <w:t xml:space="preserve">Amount </w:t>
            </w:r>
          </w:p>
        </w:tc>
        <w:tc>
          <w:tcPr>
            <w:tcW w:w="135" w:type="dxa"/>
            <w:tcBorders/>
            <w:tcMar>
              <w:bottom w:w="0" w:type="dxa"/>
            </w:tcMar>
            <w:vAlign w:val="center"/>
          </w:tcPr>
          <w:p>
            <w:pPr>
              <w:pStyle w:val="TableContents"/>
              <w:bidi w:val="0"/>
              <w:spacing w:before="0" w:after="283"/>
              <w:jc w:val="left"/>
              <w:rPr/>
            </w:pPr>
            <w:r>
              <w:rPr/>
              <w:t xml:space="preserve">  </w:t>
            </w:r>
          </w:p>
        </w:tc>
      </w:tr>
      <w:tr>
        <w:trPr/>
        <w:tc>
          <w:tcPr>
            <w:tcW w:w="4070" w:type="dxa"/>
            <w:tcBorders/>
            <w:shd w:fill="CCEEFF" w:val="clear"/>
            <w:tcMar>
              <w:bottom w:w="0" w:type="dxa"/>
            </w:tcMar>
            <w:vAlign w:val="center"/>
          </w:tcPr>
          <w:p>
            <w:pPr>
              <w:pStyle w:val="TableContents"/>
              <w:bidi w:val="0"/>
              <w:spacing w:before="0" w:after="283"/>
              <w:jc w:val="left"/>
              <w:rPr/>
            </w:pPr>
            <w:r>
              <w:rPr/>
              <w:t xml:space="preserve">SEC registration fee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00" w:type="dxa"/>
            <w:tcBorders/>
            <w:shd w:fill="CCEEFF" w:val="clear"/>
            <w:tcMar>
              <w:bottom w:w="0" w:type="dxa"/>
            </w:tcMar>
            <w:vAlign w:val="center"/>
          </w:tcPr>
          <w:p>
            <w:pPr>
              <w:pStyle w:val="TableContents"/>
              <w:bidi w:val="0"/>
              <w:spacing w:before="0" w:after="283"/>
              <w:jc w:val="left"/>
              <w:rPr/>
            </w:pPr>
            <w:r>
              <w:rPr/>
              <w:t xml:space="preserve">$ </w:t>
            </w:r>
          </w:p>
        </w:tc>
        <w:tc>
          <w:tcPr>
            <w:tcW w:w="740" w:type="dxa"/>
            <w:tcBorders/>
            <w:shd w:fill="CCEEFF" w:val="clear"/>
            <w:tcMar>
              <w:bottom w:w="0" w:type="dxa"/>
            </w:tcMar>
            <w:vAlign w:val="center"/>
          </w:tcPr>
          <w:p>
            <w:pPr>
              <w:pStyle w:val="TableContents"/>
              <w:bidi w:val="0"/>
              <w:spacing w:before="0" w:after="283"/>
              <w:jc w:val="right"/>
              <w:rPr/>
            </w:pPr>
            <w:r>
              <w:rPr/>
              <w:t xml:space="preserve">53,711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4070" w:type="dxa"/>
            <w:tcBorders/>
            <w:shd w:fill="FFFFFF" w:val="clear"/>
            <w:tcMar>
              <w:bottom w:w="0" w:type="dxa"/>
            </w:tcMar>
            <w:vAlign w:val="center"/>
          </w:tcPr>
          <w:p>
            <w:pPr>
              <w:pStyle w:val="TableContents"/>
              <w:bidi w:val="0"/>
              <w:spacing w:before="0" w:after="283"/>
              <w:jc w:val="left"/>
              <w:rPr/>
            </w:pPr>
            <w:r>
              <w:rPr/>
              <w:t xml:space="preserve">Legal fees and expenses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00" w:type="dxa"/>
            <w:tcBorders/>
            <w:shd w:fill="FFFFFF" w:val="clear"/>
            <w:tcMar>
              <w:bottom w:w="0" w:type="dxa"/>
            </w:tcMar>
            <w:vAlign w:val="center"/>
          </w:tcPr>
          <w:p>
            <w:pPr>
              <w:pStyle w:val="TableContents"/>
              <w:bidi w:val="0"/>
              <w:spacing w:before="0" w:after="283"/>
              <w:jc w:val="left"/>
              <w:rPr/>
            </w:pPr>
            <w:r>
              <w:rPr/>
              <w:t xml:space="preserve">  </w:t>
            </w:r>
          </w:p>
        </w:tc>
        <w:tc>
          <w:tcPr>
            <w:tcW w:w="740" w:type="dxa"/>
            <w:tcBorders/>
            <w:shd w:fill="FFFFFF" w:val="clear"/>
            <w:tcMar>
              <w:bottom w:w="0" w:type="dxa"/>
            </w:tcMar>
            <w:vAlign w:val="center"/>
          </w:tcPr>
          <w:p>
            <w:pPr>
              <w:pStyle w:val="TableContents"/>
              <w:bidi w:val="0"/>
              <w:spacing w:before="0" w:after="283"/>
              <w:jc w:val="right"/>
              <w:rPr/>
            </w:pPr>
            <w:r>
              <w:rPr/>
              <w:t xml:space="preserve">*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4070" w:type="dxa"/>
            <w:tcBorders/>
            <w:shd w:fill="CCEEFF" w:val="clear"/>
            <w:tcMar>
              <w:bottom w:w="0" w:type="dxa"/>
            </w:tcMar>
            <w:vAlign w:val="center"/>
          </w:tcPr>
          <w:p>
            <w:pPr>
              <w:pStyle w:val="TableContents"/>
              <w:bidi w:val="0"/>
              <w:spacing w:before="0" w:after="283"/>
              <w:jc w:val="left"/>
              <w:rPr/>
            </w:pPr>
            <w:r>
              <w:rPr/>
              <w:t xml:space="preserve">Accountants’ fees and expenses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00" w:type="dxa"/>
            <w:tcBorders/>
            <w:shd w:fill="CCEEFF" w:val="clear"/>
            <w:tcMar>
              <w:bottom w:w="0" w:type="dxa"/>
            </w:tcMar>
            <w:vAlign w:val="center"/>
          </w:tcPr>
          <w:p>
            <w:pPr>
              <w:pStyle w:val="TableContents"/>
              <w:bidi w:val="0"/>
              <w:spacing w:before="0" w:after="283"/>
              <w:jc w:val="left"/>
              <w:rPr/>
            </w:pPr>
            <w:r>
              <w:rPr/>
              <w:t xml:space="preserve">  </w:t>
            </w:r>
          </w:p>
        </w:tc>
        <w:tc>
          <w:tcPr>
            <w:tcW w:w="740"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4070" w:type="dxa"/>
            <w:tcBorders/>
            <w:shd w:fill="FFFFFF" w:val="clear"/>
            <w:tcMar>
              <w:bottom w:w="0" w:type="dxa"/>
            </w:tcMar>
            <w:vAlign w:val="center"/>
          </w:tcPr>
          <w:p>
            <w:pPr>
              <w:pStyle w:val="TableContents"/>
              <w:bidi w:val="0"/>
              <w:spacing w:before="0" w:after="283"/>
              <w:jc w:val="left"/>
              <w:rPr/>
            </w:pPr>
            <w:r>
              <w:rPr/>
              <w:t xml:space="preserve">Transfer agent fees and expenses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00" w:type="dxa"/>
            <w:tcBorders/>
            <w:shd w:fill="FFFFFF" w:val="clear"/>
            <w:tcMar>
              <w:bottom w:w="0" w:type="dxa"/>
            </w:tcMar>
            <w:vAlign w:val="center"/>
          </w:tcPr>
          <w:p>
            <w:pPr>
              <w:pStyle w:val="TableContents"/>
              <w:bidi w:val="0"/>
              <w:spacing w:before="0" w:after="283"/>
              <w:jc w:val="left"/>
              <w:rPr/>
            </w:pPr>
            <w:r>
              <w:rPr/>
              <w:t xml:space="preserve">  </w:t>
            </w:r>
          </w:p>
        </w:tc>
        <w:tc>
          <w:tcPr>
            <w:tcW w:w="740"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4070" w:type="dxa"/>
            <w:tcBorders/>
            <w:shd w:fill="CCEEFF" w:val="clear"/>
            <w:tcMar>
              <w:bottom w:w="0" w:type="dxa"/>
            </w:tcMar>
            <w:vAlign w:val="center"/>
          </w:tcPr>
          <w:p>
            <w:pPr>
              <w:pStyle w:val="TableContents"/>
              <w:bidi w:val="0"/>
              <w:spacing w:before="0" w:after="283"/>
              <w:jc w:val="left"/>
              <w:rPr/>
            </w:pPr>
            <w:r>
              <w:rPr/>
              <w:t xml:space="preserve">Printing expenses and miscellaneous costs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00" w:type="dxa"/>
            <w:tcBorders>
              <w:bottom w:val="single" w:sz="12" w:space="0" w:color="000000"/>
            </w:tcBorders>
            <w:shd w:fill="CCEEFF" w:val="clear"/>
            <w:vAlign w:val="center"/>
          </w:tcPr>
          <w:p>
            <w:pPr>
              <w:pStyle w:val="TableContents"/>
              <w:bidi w:val="0"/>
              <w:spacing w:before="0" w:after="283"/>
              <w:jc w:val="left"/>
              <w:rPr/>
            </w:pPr>
            <w:r>
              <w:rPr/>
              <w:t xml:space="preserve">  </w:t>
            </w:r>
          </w:p>
        </w:tc>
        <w:tc>
          <w:tcPr>
            <w:tcW w:w="740" w:type="dxa"/>
            <w:tcBorders>
              <w:bottom w:val="single" w:sz="12" w:space="0" w:color="000000"/>
            </w:tcBorders>
            <w:shd w:fill="CCEEFF" w:val="cle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4070" w:type="dxa"/>
            <w:tcBorders/>
            <w:shd w:fill="FFFFFF" w:val="clear"/>
            <w:tcMar>
              <w:bottom w:w="0" w:type="dxa"/>
            </w:tcMar>
            <w:vAlign w:val="center"/>
          </w:tcPr>
          <w:p>
            <w:pPr>
              <w:pStyle w:val="TableContents"/>
              <w:bidi w:val="0"/>
              <w:spacing w:before="0" w:after="283"/>
              <w:jc w:val="left"/>
              <w:rPr>
                <w:b/>
              </w:rPr>
            </w:pPr>
            <w:r>
              <w:rPr>
                <w:b/>
              </w:rPr>
              <w:t xml:space="preserve">Total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00" w:type="dxa"/>
            <w:tcBorders>
              <w:bottom w:val="double" w:sz="10" w:space="0" w:color="000000"/>
            </w:tcBorders>
            <w:shd w:fill="FFFFFF" w:val="clear"/>
            <w:vAlign w:val="center"/>
          </w:tcPr>
          <w:p>
            <w:pPr>
              <w:pStyle w:val="TableContents"/>
              <w:bidi w:val="0"/>
              <w:spacing w:before="0" w:after="283"/>
              <w:jc w:val="left"/>
              <w:rPr/>
            </w:pPr>
            <w:r>
              <w:rPr/>
              <w:t xml:space="preserve">$ </w:t>
            </w:r>
          </w:p>
        </w:tc>
        <w:tc>
          <w:tcPr>
            <w:tcW w:w="740" w:type="dxa"/>
            <w:tcBorders>
              <w:bottom w:val="double" w:sz="10" w:space="0" w:color="000000"/>
            </w:tcBorders>
            <w:shd w:fill="FFFFFF" w:val="clear"/>
            <w:vAlign w:val="center"/>
          </w:tcPr>
          <w:p>
            <w:pPr>
              <w:pStyle w:val="TableContents"/>
              <w:bidi w:val="0"/>
              <w:spacing w:before="0" w:after="283"/>
              <w:jc w:val="right"/>
              <w:rPr/>
            </w:pPr>
            <w:r>
              <w:rPr/>
              <w:t xml:space="preserve">*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72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00"/>
        <w:gridCol w:w="3425"/>
      </w:tblGrid>
      <w:tr>
        <w:trPr/>
        <w:tc>
          <w:tcPr>
            <w:tcW w:w="200"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3425" w:type="dxa"/>
            <w:tcBorders/>
            <w:vAlign w:val="center"/>
          </w:tcPr>
          <w:p>
            <w:pPr>
              <w:pStyle w:val="TableContents"/>
              <w:bidi w:val="0"/>
              <w:spacing w:before="0" w:after="283"/>
              <w:jc w:val="both"/>
              <w:rPr/>
            </w:pPr>
            <w:r>
              <w:rPr>
                <w:rFonts w:ascii="Times New Roman;Times;Serif" w:hAnsi="Times New Roman;Times;Serif"/>
                <w:sz w:val="20"/>
              </w:rPr>
              <w:t>These fees cannot be defined at this time.</w:t>
            </w: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agreed to pay all expenses of registration incurred in connection with the resale of Ordinary Shares under this prospectus, except for any underwriting discounts, if any, selling commissions and stock transfer taxes applicable to the sale of Ordinary Shares by the Selling Shareholders, all of which are to be paid by the Selling Shareholders.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k_023"/>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U.S. law will be passed upon for the Company by Loeb &amp; Loeb LLP. Certain Cayman Islands legal matters will be passed upon for the Company by Carey Olsen Singapore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k_024"/>
      <w:bookmarkEnd w:id="16"/>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of GCL Global Holdings Ltd as of March 31, 2025 and 2024, and for each of the three years in the period ended March 31, 2025, as incorporated by reference in this prospectus and elsewhere in the registration statement, have been so incorporated by reference in reliance on the report of Marcum Asia CPAs LLP, an independent registered public accounting firm, given on the authority of such firm as experts in accounting and auditing.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k_025"/>
      <w:bookmarkEnd w:id="1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file annual reports and other information from time to time with the SEC in accordance with such requirements. Our SEC filings will be available to the public on the internet at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maintain an Internet website at </w:t>
      </w:r>
      <w:r>
        <w:rPr>
          <w:rFonts w:ascii="Times New Roman;Times;Serif" w:hAnsi="Times New Roman;Times;Serif"/>
          <w:b w:val="false"/>
          <w:i/>
          <w:caps w:val="false"/>
          <w:smallCaps w:val="false"/>
          <w:sz w:val="20"/>
        </w:rPr>
        <w:t>https://www.gclglobalholdings.com</w:t>
      </w:r>
      <w:r>
        <w:rPr>
          <w:rFonts w:ascii="Times New Roman;Times;Serif" w:hAnsi="Times New Roman;Times;Serif"/>
          <w:b w:val="false"/>
          <w:i w:val="false"/>
          <w:caps w:val="false"/>
          <w:smallCaps w:val="false"/>
          <w:sz w:val="20"/>
        </w:rPr>
        <w:t>. Through our website, we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8" w:name="b_002"/>
      <w:bookmarkEnd w:id="18"/>
      <w:r>
        <w:rPr>
          <w:rFonts w:ascii="Times New Roman;Times;Serif" w:hAnsi="Times New Roman;Times;Serif"/>
          <w:b/>
          <w:i w:val="false"/>
          <w:caps w:val="false"/>
          <w:smallCaps w:val="false"/>
          <w:sz w:val="20"/>
        </w:rPr>
        <w:t>INCORPORATION OF CERTAIN DOCUMENTS BY REFERENCE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registration statement incorporates by reference important information about the Company that is not included in or delivered with this document. 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incorporate by reference into this prospectus the following documents: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xml:space="preserve">● </w:t>
            </w:r>
          </w:p>
        </w:tc>
        <w:tc>
          <w:tcPr>
            <w:tcW w:w="9956" w:type="dxa"/>
            <w:tcBorders/>
            <w:vAlign w:val="center"/>
          </w:tcPr>
          <w:p>
            <w:pPr>
              <w:pStyle w:val="TableContents"/>
              <w:bidi w:val="0"/>
              <w:spacing w:before="0" w:after="283"/>
              <w:jc w:val="left"/>
              <w:rPr/>
            </w:pPr>
            <w:r>
              <w:rPr>
                <w:rFonts w:ascii="Times New Roman;Times;Serif" w:hAnsi="Times New Roman;Times;Serif"/>
              </w:rPr>
              <w:t xml:space="preserve">Our annual report on Form 20-F for the year ended March 31, 2025 filed with the SEC on </w:t>
            </w:r>
            <w:hyperlink r:id="rId3">
              <w:r>
                <w:rPr>
                  <w:rStyle w:val="InternetLink"/>
                  <w:rFonts w:ascii="Times New Roman;Times;Serif" w:hAnsi="Times New Roman;Times;Serif"/>
                </w:rPr>
                <w:t>July 31, 2025</w:t>
              </w:r>
            </w:hyperlink>
            <w:r>
              <w:rPr>
                <w:rFonts w:ascii="Times New Roman;Times;Serif" w:hAnsi="Times New Roman;Times;Serif"/>
              </w:rPr>
              <w:t xml:space="preserve">, as amended on </w:t>
            </w:r>
            <w:hyperlink r:id="rId4">
              <w:r>
                <w:rPr>
                  <w:rStyle w:val="InternetLink"/>
                  <w:rFonts w:ascii="Times New Roman;Times;Serif" w:hAnsi="Times New Roman;Times;Serif"/>
                </w:rPr>
                <w:t>April 9</w:t>
              </w:r>
            </w:hyperlink>
            <w:r>
              <w:rPr>
                <w:rFonts w:ascii="Times New Roman;Times;Serif" w:hAnsi="Times New Roman;Times;Serif"/>
              </w:rPr>
              <w:t xml:space="preserve"> and </w:t>
            </w:r>
            <w:hyperlink r:id="rId5">
              <w:r>
                <w:rPr>
                  <w:rStyle w:val="InternetLink"/>
                  <w:rFonts w:ascii="Times New Roman;Times;Serif" w:hAnsi="Times New Roman;Times;Serif"/>
                </w:rPr>
                <w:t>May 4, 2026</w:t>
              </w:r>
            </w:hyperlink>
            <w:r>
              <w:rPr>
                <w:rFonts w:ascii="Times New Roman;Times;Serif" w:hAnsi="Times New Roman;Times;Serif"/>
              </w:rPr>
              <w:t>;</w:t>
            </w:r>
            <w:r>
              <w:rPr/>
              <w:t xml:space="preserv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 xml:space="preserve">● </w:t>
            </w:r>
          </w:p>
        </w:tc>
        <w:tc>
          <w:tcPr>
            <w:tcW w:w="9972" w:type="dxa"/>
            <w:tcBorders/>
            <w:vAlign w:val="center"/>
          </w:tcPr>
          <w:p>
            <w:pPr>
              <w:pStyle w:val="TableContents"/>
              <w:bidi w:val="0"/>
              <w:spacing w:before="0" w:after="283"/>
              <w:jc w:val="both"/>
              <w:rPr/>
            </w:pPr>
            <w:r>
              <w:rPr>
                <w:rFonts w:ascii="Times New Roman;Times;Serif" w:hAnsi="Times New Roman;Times;Serif"/>
              </w:rPr>
              <w:t xml:space="preserve">Current Reports on Form 6-K furnished to the SEC on </w:t>
            </w:r>
            <w:hyperlink r:id="rId6">
              <w:r>
                <w:rPr>
                  <w:rStyle w:val="InternetLink"/>
                  <w:rFonts w:ascii="Times New Roman;Times;Serif" w:hAnsi="Times New Roman;Times;Serif"/>
                </w:rPr>
                <w:t>August 25</w:t>
              </w:r>
            </w:hyperlink>
            <w:r>
              <w:rPr>
                <w:rFonts w:ascii="Times New Roman;Times;Serif" w:hAnsi="Times New Roman;Times;Serif"/>
              </w:rPr>
              <w:t xml:space="preserve">, </w:t>
            </w:r>
            <w:hyperlink r:id="rId7">
              <w:r>
                <w:rPr>
                  <w:rStyle w:val="InternetLink"/>
                  <w:rFonts w:ascii="Times New Roman;Times;Serif" w:hAnsi="Times New Roman;Times;Serif"/>
                </w:rPr>
                <w:t>27</w:t>
              </w:r>
            </w:hyperlink>
            <w:r>
              <w:rPr>
                <w:rFonts w:ascii="Times New Roman;Times;Serif" w:hAnsi="Times New Roman;Times;Serif"/>
              </w:rPr>
              <w:t xml:space="preserve"> and </w:t>
            </w:r>
            <w:hyperlink r:id="rId8">
              <w:r>
                <w:rPr>
                  <w:rStyle w:val="InternetLink"/>
                  <w:rFonts w:ascii="Times New Roman;Times;Serif" w:hAnsi="Times New Roman;Times;Serif"/>
                </w:rPr>
                <w:t>29</w:t>
              </w:r>
            </w:hyperlink>
            <w:r>
              <w:rPr>
                <w:rFonts w:ascii="Times New Roman;Times;Serif" w:hAnsi="Times New Roman;Times;Serif"/>
              </w:rPr>
              <w:t xml:space="preserve">, </w:t>
            </w:r>
            <w:hyperlink r:id="rId9">
              <w:r>
                <w:rPr>
                  <w:rStyle w:val="InternetLink"/>
                  <w:rFonts w:ascii="Times New Roman;Times;Serif" w:hAnsi="Times New Roman;Times;Serif"/>
                </w:rPr>
                <w:t>September 5</w:t>
              </w:r>
            </w:hyperlink>
            <w:r>
              <w:rPr>
                <w:rFonts w:ascii="Times New Roman;Times;Serif" w:hAnsi="Times New Roman;Times;Serif"/>
              </w:rPr>
              <w:t xml:space="preserve">, </w:t>
            </w:r>
            <w:hyperlink r:id="rId10">
              <w:r>
                <w:rPr>
                  <w:rStyle w:val="InternetLink"/>
                  <w:rFonts w:ascii="Times New Roman;Times;Serif" w:hAnsi="Times New Roman;Times;Serif"/>
                </w:rPr>
                <w:t>9</w:t>
              </w:r>
            </w:hyperlink>
            <w:r>
              <w:rPr>
                <w:rFonts w:ascii="Times New Roman;Times;Serif" w:hAnsi="Times New Roman;Times;Serif"/>
              </w:rPr>
              <w:t xml:space="preserve">, </w:t>
            </w:r>
            <w:hyperlink r:id="rId11">
              <w:r>
                <w:rPr>
                  <w:rStyle w:val="InternetLink"/>
                  <w:rFonts w:ascii="Times New Roman;Times;Serif" w:hAnsi="Times New Roman;Times;Serif"/>
                </w:rPr>
                <w:t>11</w:t>
              </w:r>
            </w:hyperlink>
            <w:r>
              <w:rPr>
                <w:rFonts w:ascii="Times New Roman;Times;Serif" w:hAnsi="Times New Roman;Times;Serif"/>
              </w:rPr>
              <w:t xml:space="preserve"> and </w:t>
            </w:r>
            <w:hyperlink r:id="rId12">
              <w:r>
                <w:rPr>
                  <w:rStyle w:val="InternetLink"/>
                  <w:rFonts w:ascii="Times New Roman;Times;Serif" w:hAnsi="Times New Roman;Times;Serif"/>
                </w:rPr>
                <w:t>15</w:t>
              </w:r>
            </w:hyperlink>
            <w:r>
              <w:rPr>
                <w:rFonts w:ascii="Times New Roman;Times;Serif" w:hAnsi="Times New Roman;Times;Serif"/>
              </w:rPr>
              <w:t xml:space="preserve">, </w:t>
            </w:r>
            <w:hyperlink r:id="rId13">
              <w:r>
                <w:rPr>
                  <w:rStyle w:val="InternetLink"/>
                  <w:rFonts w:ascii="Times New Roman;Times;Serif" w:hAnsi="Times New Roman;Times;Serif"/>
                </w:rPr>
                <w:t>October 10</w:t>
              </w:r>
            </w:hyperlink>
            <w:r>
              <w:rPr>
                <w:rFonts w:ascii="Times New Roman;Times;Serif" w:hAnsi="Times New Roman;Times;Serif"/>
              </w:rPr>
              <w:t xml:space="preserve"> and </w:t>
            </w:r>
            <w:hyperlink r:id="rId14">
              <w:r>
                <w:rPr>
                  <w:rStyle w:val="InternetLink"/>
                  <w:rFonts w:ascii="Times New Roman;Times;Serif" w:hAnsi="Times New Roman;Times;Serif"/>
                </w:rPr>
                <w:t>16</w:t>
              </w:r>
            </w:hyperlink>
            <w:r>
              <w:rPr>
                <w:rFonts w:ascii="Times New Roman;Times;Serif" w:hAnsi="Times New Roman;Times;Serif"/>
              </w:rPr>
              <w:t xml:space="preserve">, </w:t>
            </w:r>
            <w:hyperlink r:id="rId15">
              <w:r>
                <w:rPr>
                  <w:rStyle w:val="InternetLink"/>
                  <w:rFonts w:ascii="Times New Roman;Times;Serif" w:hAnsi="Times New Roman;Times;Serif"/>
                </w:rPr>
                <w:t>November 25</w:t>
              </w:r>
            </w:hyperlink>
            <w:r>
              <w:rPr>
                <w:rFonts w:ascii="Times New Roman;Times;Serif" w:hAnsi="Times New Roman;Times;Serif"/>
              </w:rPr>
              <w:t xml:space="preserve">, </w:t>
            </w:r>
            <w:hyperlink r:id="rId16">
              <w:r>
                <w:rPr>
                  <w:rStyle w:val="InternetLink"/>
                  <w:rFonts w:ascii="Times New Roman;Times;Serif" w:hAnsi="Times New Roman;Times;Serif"/>
                </w:rPr>
                <w:t>December 2</w:t>
              </w:r>
            </w:hyperlink>
            <w:r>
              <w:rPr>
                <w:rFonts w:ascii="Times New Roman;Times;Serif" w:hAnsi="Times New Roman;Times;Serif"/>
              </w:rPr>
              <w:t xml:space="preserve"> and </w:t>
            </w:r>
            <w:hyperlink r:id="rId17">
              <w:r>
                <w:rPr>
                  <w:rStyle w:val="InternetLink"/>
                  <w:rFonts w:ascii="Times New Roman;Times;Serif" w:hAnsi="Times New Roman;Times;Serif"/>
                </w:rPr>
                <w:t>4, 2025</w:t>
              </w:r>
            </w:hyperlink>
            <w:r>
              <w:rPr>
                <w:rFonts w:ascii="Times New Roman;Times;Serif" w:hAnsi="Times New Roman;Times;Serif"/>
              </w:rPr>
              <w:t xml:space="preserve">, </w:t>
            </w:r>
            <w:hyperlink r:id="rId18">
              <w:r>
                <w:rPr>
                  <w:rStyle w:val="InternetLink"/>
                  <w:rFonts w:ascii="Times New Roman;Times;Serif" w:hAnsi="Times New Roman;Times;Serif"/>
                </w:rPr>
                <w:t>January 30</w:t>
              </w:r>
            </w:hyperlink>
            <w:r>
              <w:rPr>
                <w:rFonts w:ascii="Times New Roman;Times;Serif" w:hAnsi="Times New Roman;Times;Serif"/>
              </w:rPr>
              <w:t xml:space="preserve">, </w:t>
            </w:r>
            <w:hyperlink r:id="rId19">
              <w:r>
                <w:rPr>
                  <w:rStyle w:val="InternetLink"/>
                  <w:rFonts w:ascii="Times New Roman;Times;Serif" w:hAnsi="Times New Roman;Times;Serif"/>
                </w:rPr>
                <w:t>March 23</w:t>
              </w:r>
            </w:hyperlink>
            <w:r>
              <w:rPr>
                <w:rFonts w:ascii="Times New Roman;Times;Serif" w:hAnsi="Times New Roman;Times;Serif"/>
              </w:rPr>
              <w:t xml:space="preserve">, </w:t>
            </w:r>
            <w:hyperlink r:id="rId20">
              <w:r>
                <w:rPr>
                  <w:rStyle w:val="InternetLink"/>
                  <w:rFonts w:ascii="Times New Roman;Times;Serif" w:hAnsi="Times New Roman;Times;Serif"/>
                </w:rPr>
                <w:t>26</w:t>
              </w:r>
            </w:hyperlink>
            <w:r>
              <w:rPr>
                <w:rFonts w:ascii="Times New Roman;Times;Serif" w:hAnsi="Times New Roman;Times;Serif"/>
              </w:rPr>
              <w:t xml:space="preserve">, </w:t>
            </w:r>
            <w:hyperlink r:id="rId21">
              <w:r>
                <w:rPr>
                  <w:rStyle w:val="InternetLink"/>
                  <w:rFonts w:ascii="Times New Roman;Times;Serif" w:hAnsi="Times New Roman;Times;Serif"/>
                </w:rPr>
                <w:t>30</w:t>
              </w:r>
            </w:hyperlink>
            <w:r>
              <w:rPr>
                <w:rFonts w:ascii="Times New Roman;Times;Serif" w:hAnsi="Times New Roman;Times;Serif"/>
              </w:rPr>
              <w:t xml:space="preserve"> and </w:t>
            </w:r>
            <w:hyperlink r:id="rId22">
              <w:r>
                <w:rPr>
                  <w:rStyle w:val="InternetLink"/>
                  <w:rFonts w:ascii="Times New Roman;Times;Serif" w:hAnsi="Times New Roman;Times;Serif"/>
                </w:rPr>
                <w:t>31</w:t>
              </w:r>
            </w:hyperlink>
            <w:r>
              <w:rPr>
                <w:rFonts w:ascii="Times New Roman;Times;Serif" w:hAnsi="Times New Roman;Times;Serif"/>
              </w:rPr>
              <w:t xml:space="preserve">, </w:t>
            </w:r>
            <w:hyperlink r:id="rId23">
              <w:r>
                <w:rPr>
                  <w:rStyle w:val="InternetLink"/>
                  <w:rFonts w:ascii="Times New Roman;Times;Serif" w:hAnsi="Times New Roman;Times;Serif"/>
                </w:rPr>
                <w:t>April 14</w:t>
              </w:r>
            </w:hyperlink>
            <w:r>
              <w:rPr>
                <w:rFonts w:ascii="Times New Roman;Times;Serif" w:hAnsi="Times New Roman;Times;Serif"/>
              </w:rPr>
              <w:t xml:space="preserve"> and </w:t>
            </w:r>
            <w:hyperlink r:id="rId24">
              <w:r>
                <w:rPr>
                  <w:rStyle w:val="InternetLink"/>
                  <w:rFonts w:ascii="Times New Roman;Times;Serif" w:hAnsi="Times New Roman;Times;Serif"/>
                </w:rPr>
                <w:t>April 29, 2026</w:t>
              </w:r>
            </w:hyperlink>
            <w:r>
              <w:rPr>
                <w:rFonts w:ascii="Times New Roman;Times;Serif" w:hAnsi="Times New Roman;Times;Serif"/>
              </w:rPr>
              <w:t>;</w:t>
            </w:r>
            <w:r>
              <w:rPr/>
              <w:t xml:space="preserve"> </w:t>
            </w:r>
          </w:p>
        </w:tc>
      </w:tr>
    </w:tbl>
    <w:p>
      <w:pPr>
        <w:pStyle w:val="TextBody"/>
        <w:bidi w:val="0"/>
        <w:spacing w:before="0" w:after="0"/>
        <w:ind w:left="81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 xml:space="preserve">● </w:t>
            </w:r>
          </w:p>
        </w:tc>
        <w:tc>
          <w:tcPr>
            <w:tcW w:w="9969" w:type="dxa"/>
            <w:tcBorders/>
            <w:vAlign w:val="center"/>
          </w:tcPr>
          <w:p>
            <w:pPr>
              <w:pStyle w:val="TableContents"/>
              <w:bidi w:val="0"/>
              <w:spacing w:before="0" w:after="283"/>
              <w:jc w:val="both"/>
              <w:rPr/>
            </w:pPr>
            <w:r>
              <w:rPr>
                <w:rFonts w:ascii="Times New Roman;Times;Serif" w:hAnsi="Times New Roman;Times;Serif"/>
              </w:rPr>
              <w:t>The description of our Ordinary Shares contained in our Registration Statement on </w:t>
            </w:r>
            <w:hyperlink r:id="rId25">
              <w:r>
                <w:rPr>
                  <w:rStyle w:val="InternetLink"/>
                  <w:rFonts w:ascii="Times New Roman;Times;Serif" w:hAnsi="Times New Roman;Times;Serif"/>
                </w:rPr>
                <w:t>Form 8-A</w:t>
              </w:r>
            </w:hyperlink>
            <w:r>
              <w:rPr>
                <w:rFonts w:ascii="Times New Roman;Times;Serif" w:hAnsi="Times New Roman;Times;Serif"/>
              </w:rPr>
              <w:t> filed on February 13, 2025, including any amendments or reports filed for the purpose of updating the description;</w:t>
            </w:r>
            <w:r>
              <w:rPr/>
              <w:t xml:space="preserve"> </w:t>
            </w:r>
          </w:p>
        </w:tc>
      </w:tr>
    </w:tbl>
    <w:p>
      <w:pPr>
        <w:pStyle w:val="TextBody"/>
        <w:bidi w:val="0"/>
        <w:spacing w:before="0" w:after="0"/>
        <w:ind w:left="81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 xml:space="preserve">● </w:t>
            </w:r>
          </w:p>
        </w:tc>
        <w:tc>
          <w:tcPr>
            <w:tcW w:w="9965" w:type="dxa"/>
            <w:tcBorders/>
            <w:vAlign w:val="center"/>
          </w:tcPr>
          <w:p>
            <w:pPr>
              <w:pStyle w:val="TableContents"/>
              <w:bidi w:val="0"/>
              <w:spacing w:before="0" w:after="283"/>
              <w:jc w:val="both"/>
              <w:rPr/>
            </w:pPr>
            <w:r>
              <w:rPr>
                <w:rFonts w:ascii="Times New Roman;Times;Serif" w:hAnsi="Times New Roman;Times;Serif"/>
              </w:rPr>
              <w:t>Any future annual reports on Form 20-F filed with the SEC after the date of this prospectus and prior to the termination of the offering of the securities offered by this prospectus; and</w:t>
            </w:r>
            <w:r>
              <w:rPr/>
              <w:t xml:space="preserve"> </w:t>
            </w:r>
          </w:p>
        </w:tc>
      </w:tr>
    </w:tbl>
    <w:p>
      <w:pPr>
        <w:pStyle w:val="TextBody"/>
        <w:bidi w:val="0"/>
        <w:spacing w:before="0" w:after="0"/>
        <w:ind w:left="81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 xml:space="preserve">● </w:t>
            </w:r>
          </w:p>
        </w:tc>
        <w:tc>
          <w:tcPr>
            <w:tcW w:w="9972" w:type="dxa"/>
            <w:tcBorders/>
            <w:vAlign w:val="center"/>
          </w:tcPr>
          <w:p>
            <w:pPr>
              <w:pStyle w:val="TableContents"/>
              <w:bidi w:val="0"/>
              <w:spacing w:before="0" w:after="283"/>
              <w:jc w:val="both"/>
              <w:rPr/>
            </w:pPr>
            <w:r>
              <w:rPr>
                <w:rFonts w:ascii="Times New Roman;Times;Serif" w:hAnsi="Times New Roman;Times;Serif"/>
              </w:rPr>
              <w:t>Any future reports on Form 6-K that we furnish to the SEC after the date of this prospectus that are identified in such reports as being incorporated by reference into the registration statement of which this prospectus forms a part.</w:t>
            </w:r>
            <w:r>
              <w:rPr/>
              <w:t xml:space="preserve"> </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Group Chief Financial Officer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GCL Global Holdings Ltd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Tai Seng Avenue #02-01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Natural Cool Lifestyle Hub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Singapore 534119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+65 80427330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should rely only on the information that we incorporate by reference or provide in this prospectus or any supplement or amendment hereto. We have not authorized anyone to provide you with different information. We are not making any offer to sell these securities in any jurisdiction where the offer or sale is not permitted. You should not assume that the information contained or incorporated by reference in this prospectus or any supplement or amendment hereto is accurate as of any date other than the date of the document containing the information.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9" w:name="b_003"/>
      <w:bookmarkEnd w:id="19"/>
      <w:r>
        <w:rPr>
          <w:rFonts w:ascii="Times New Roman;Times;Serif" w:hAnsi="Times New Roman;Times;Serif"/>
          <w:b/>
          <w:i w:val="false"/>
          <w:caps w:val="false"/>
          <w:smallCaps w:val="false"/>
          <w:sz w:val="20"/>
        </w:rPr>
        <w:t>PART II</w:t>
        <w:br/>
        <w:t>INFORMATION NOT REQUIRED IN PROSPECTUS</w:t>
      </w:r>
      <w:r>
        <w:rPr>
          <w:rFonts w:ascii="Times New Roman;Times;Serif" w:hAnsi="Times New Roman;Times;Serif"/>
          <w:b w:val="false"/>
          <w:i w:val="false"/>
          <w:caps w:val="false"/>
          <w:smallCaps w:val="false"/>
          <w:sz w:val="20"/>
        </w:rPr>
        <w:t xml:space="preserve"> </w:t>
      </w:r>
    </w:p>
    <w:p>
      <w:pPr>
        <w:pStyle w:val="TextBody"/>
        <w:bidi w:val="0"/>
        <w:spacing w:before="0" w:after="0"/>
        <w:ind w:left="960" w:right="0" w:hanging="96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 Indemnification of Directors and Officers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fraud or the consequences of committing a crime.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Articles Amended and Restated Memorandum and Articles of Association provide for indemnification and advancement of expenses for its current and former directors and officers to the fullest extent permitted under the laws of the Cayman Islands, in the absence of actual fraud or wilful default. The Company has entered into indemnification agreements with each director and officers of the Company.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Exhibits </w:t>
      </w:r>
    </w:p>
    <w:p>
      <w:pPr>
        <w:pStyle w:val="TextBody"/>
        <w:bidi w:val="0"/>
        <w:spacing w:before="0" w:after="0"/>
        <w:jc w:val="left"/>
        <w:rPr>
          <w:caps w:val="false"/>
          <w:smallCaps w:val="false"/>
        </w:rPr>
      </w:pPr>
      <w:r>
        <w:rPr>
          <w:caps w:val="false"/>
          <w:smallCaps w:val="false"/>
        </w:rPr>
        <w:t> </w:t>
      </w:r>
    </w:p>
    <w:tbl>
      <w:tblPr>
        <w:tblW w:w="10205" w:type="dxa"/>
        <w:jc w:val="left"/>
        <w:tblInd w:w="0" w:type="dxa"/>
        <w:shd w:fill="CCEEFF" w:val="clear"/>
        <w:tblLayout w:type="fixed"/>
        <w:tblCellMar>
          <w:top w:w="0" w:type="dxa"/>
          <w:left w:w="0" w:type="dxa"/>
          <w:bottom w:w="0" w:type="dxa"/>
          <w:right w:w="0" w:type="dxa"/>
        </w:tblCellMar>
      </w:tblPr>
      <w:tblGrid>
        <w:gridCol w:w="481"/>
        <w:gridCol w:w="80"/>
        <w:gridCol w:w="9644"/>
      </w:tblGrid>
      <w:tr>
        <w:trPr/>
        <w:tc>
          <w:tcPr>
            <w:tcW w:w="481" w:type="dxa"/>
            <w:tcBorders/>
            <w:shd w:fill="CCEEFF" w:val="clear"/>
            <w:vAlign w:val="center"/>
          </w:tcPr>
          <w:p>
            <w:pPr>
              <w:pStyle w:val="TableContents"/>
              <w:bidi w:val="0"/>
              <w:spacing w:before="0" w:after="283"/>
              <w:jc w:val="left"/>
              <w:rPr/>
            </w:pPr>
            <w:r>
              <w:rPr>
                <w:rFonts w:ascii="Times New Roman;Times;Serif" w:hAnsi="Times New Roman;Times;Serif"/>
                <w:sz w:val="20"/>
              </w:rPr>
              <w:t>3.1</w:t>
            </w:r>
            <w:r>
              <w:rPr/>
              <w:t xml:space="preserve"> </w:t>
            </w:r>
          </w:p>
        </w:tc>
        <w:tc>
          <w:tcPr>
            <w:tcW w:w="80" w:type="dxa"/>
            <w:tcBorders/>
            <w:shd w:fill="CCEEFF" w:val="clear"/>
            <w:vAlign w:val="center"/>
          </w:tcPr>
          <w:p>
            <w:pPr>
              <w:pStyle w:val="TableContents"/>
              <w:bidi w:val="0"/>
              <w:spacing w:before="0" w:after="283"/>
              <w:jc w:val="left"/>
              <w:rPr/>
            </w:pPr>
            <w:r>
              <w:rPr/>
              <w:t xml:space="preserve">  </w:t>
            </w:r>
          </w:p>
        </w:tc>
        <w:tc>
          <w:tcPr>
            <w:tcW w:w="9644"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Amended and Restated Memorandum and Articles of Association of GCL Global Holdings Ltd (incorporated by reference to Exhibit 1.1 of the Company’s Shell Company Report on Form 20-F, filed with the SEC on February 26, 2025).</w:t>
              </w:r>
            </w:hyperlink>
            <w:r>
              <w:rPr/>
              <w:t xml:space="preserve"> </w:t>
            </w:r>
          </w:p>
        </w:tc>
      </w:tr>
      <w:tr>
        <w:trPr/>
        <w:tc>
          <w:tcPr>
            <w:tcW w:w="481" w:type="dxa"/>
            <w:tcBorders/>
            <w:shd w:fill="FFFFFF" w:val="clear"/>
            <w:vAlign w:val="center"/>
          </w:tcPr>
          <w:p>
            <w:pPr>
              <w:pStyle w:val="TableContents"/>
              <w:bidi w:val="0"/>
              <w:spacing w:before="0" w:after="283"/>
              <w:jc w:val="left"/>
              <w:rPr/>
            </w:pPr>
            <w:r>
              <w:rPr>
                <w:rFonts w:ascii="Times New Roman;Times;Serif" w:hAnsi="Times New Roman;Times;Serif"/>
                <w:sz w:val="20"/>
              </w:rPr>
              <w:t>4.1</w:t>
            </w:r>
            <w:r>
              <w:rPr/>
              <w:t xml:space="preserve"> </w:t>
            </w:r>
          </w:p>
        </w:tc>
        <w:tc>
          <w:tcPr>
            <w:tcW w:w="80" w:type="dxa"/>
            <w:tcBorders/>
            <w:shd w:fill="FFFFFF" w:val="clear"/>
            <w:vAlign w:val="center"/>
          </w:tcPr>
          <w:p>
            <w:pPr>
              <w:pStyle w:val="TableContents"/>
              <w:bidi w:val="0"/>
              <w:spacing w:before="0" w:after="283"/>
              <w:jc w:val="left"/>
              <w:rPr/>
            </w:pPr>
            <w:r>
              <w:rPr/>
              <w:t xml:space="preserve">  </w:t>
            </w:r>
          </w:p>
        </w:tc>
        <w:tc>
          <w:tcPr>
            <w:tcW w:w="9644" w:type="dxa"/>
            <w:tcBorders/>
            <w:shd w:fill="FFFFFF" w:val="clear"/>
            <w:vAlign w:val="center"/>
          </w:tcPr>
          <w:p>
            <w:pPr>
              <w:pStyle w:val="TableContents"/>
              <w:bidi w:val="0"/>
              <w:spacing w:before="0" w:after="283"/>
              <w:jc w:val="both"/>
              <w:rPr/>
            </w:pPr>
            <w:hyperlink r:id="rId27">
              <w:r>
                <w:rPr>
                  <w:rStyle w:val="InternetLink"/>
                  <w:rFonts w:ascii="Times New Roman;Times;Serif" w:hAnsi="Times New Roman;Times;Serif"/>
                  <w:sz w:val="20"/>
                </w:rPr>
                <w:t>Form of Senior Convertible Note issued on May 22, 2025 (incorporated by reference to Exhibit 4.1 of the Company’s Form 6-K filed with the SEC on May 22, 2025)</w:t>
              </w:r>
            </w:hyperlink>
            <w:r>
              <w:rPr/>
              <w:t xml:space="preserve"> </w:t>
            </w:r>
          </w:p>
        </w:tc>
      </w:tr>
      <w:tr>
        <w:trPr/>
        <w:tc>
          <w:tcPr>
            <w:tcW w:w="481" w:type="dxa"/>
            <w:tcBorders/>
            <w:shd w:fill="CCEEFF" w:val="clear"/>
            <w:vAlign w:val="center"/>
          </w:tcPr>
          <w:p>
            <w:pPr>
              <w:pStyle w:val="TableContents"/>
              <w:bidi w:val="0"/>
              <w:spacing w:before="0" w:after="283"/>
              <w:jc w:val="left"/>
              <w:rPr/>
            </w:pPr>
            <w:r>
              <w:rPr>
                <w:rFonts w:ascii="Times New Roman;Times;Serif" w:hAnsi="Times New Roman;Times;Serif"/>
                <w:sz w:val="20"/>
              </w:rPr>
              <w:t>4.2</w:t>
            </w:r>
            <w:r>
              <w:rPr/>
              <w:t xml:space="preserve"> </w:t>
            </w:r>
          </w:p>
        </w:tc>
        <w:tc>
          <w:tcPr>
            <w:tcW w:w="80" w:type="dxa"/>
            <w:tcBorders/>
            <w:shd w:fill="CCEEFF" w:val="clear"/>
            <w:vAlign w:val="center"/>
          </w:tcPr>
          <w:p>
            <w:pPr>
              <w:pStyle w:val="TableContents"/>
              <w:bidi w:val="0"/>
              <w:spacing w:before="0" w:after="283"/>
              <w:jc w:val="left"/>
              <w:rPr/>
            </w:pPr>
            <w:r>
              <w:rPr/>
              <w:t xml:space="preserve">  </w:t>
            </w:r>
          </w:p>
        </w:tc>
        <w:tc>
          <w:tcPr>
            <w:tcW w:w="9644"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Warrant issued to Overseas-Chinese Banking Corporation Limited on July 7, 2025 (incorporated by reference to Exhibit 4.1 of the Company’s Form 6-K filed with the SEC on July 8, 2025)</w:t>
              </w:r>
            </w:hyperlink>
            <w:r>
              <w:rPr/>
              <w:t xml:space="preserve"> </w:t>
            </w:r>
          </w:p>
        </w:tc>
      </w:tr>
      <w:tr>
        <w:trPr/>
        <w:tc>
          <w:tcPr>
            <w:tcW w:w="481" w:type="dxa"/>
            <w:tcBorders/>
            <w:shd w:fill="FFFFFF" w:val="clear"/>
            <w:vAlign w:val="center"/>
          </w:tcPr>
          <w:p>
            <w:pPr>
              <w:pStyle w:val="TableContents"/>
              <w:bidi w:val="0"/>
              <w:spacing w:before="0" w:after="283"/>
              <w:jc w:val="left"/>
              <w:rPr/>
            </w:pPr>
            <w:r>
              <w:rPr>
                <w:rFonts w:ascii="Times New Roman;Times;Serif" w:hAnsi="Times New Roman;Times;Serif"/>
                <w:sz w:val="20"/>
              </w:rPr>
              <w:t>4.2.1</w:t>
            </w:r>
            <w:r>
              <w:rPr/>
              <w:t xml:space="preserve"> </w:t>
            </w:r>
          </w:p>
        </w:tc>
        <w:tc>
          <w:tcPr>
            <w:tcW w:w="80" w:type="dxa"/>
            <w:tcBorders/>
            <w:shd w:fill="FFFFFF" w:val="clear"/>
            <w:vAlign w:val="center"/>
          </w:tcPr>
          <w:p>
            <w:pPr>
              <w:pStyle w:val="TableContents"/>
              <w:bidi w:val="0"/>
              <w:spacing w:before="0" w:after="283"/>
              <w:jc w:val="left"/>
              <w:rPr/>
            </w:pPr>
            <w:r>
              <w:rPr/>
              <w:t xml:space="preserve">  </w:t>
            </w:r>
          </w:p>
        </w:tc>
        <w:tc>
          <w:tcPr>
            <w:tcW w:w="9644"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sz w:val="20"/>
                </w:rPr>
                <w:t>Amendment No. 1 to Warrant issued to Overseas-Chinese Banking Corporation Limited dated July 29, 2025 (incorporated by reference to Exhibit 4.1 of the Company’s Form 6-K filed with the SEC on July 29, 2025)</w:t>
              </w:r>
            </w:hyperlink>
            <w:r>
              <w:rPr/>
              <w:t xml:space="preserve"> </w:t>
            </w:r>
          </w:p>
        </w:tc>
      </w:tr>
      <w:tr>
        <w:trPr/>
        <w:tc>
          <w:tcPr>
            <w:tcW w:w="481" w:type="dxa"/>
            <w:tcBorders/>
            <w:shd w:fill="CCEEFF" w:val="clear"/>
            <w:vAlign w:val="center"/>
          </w:tcPr>
          <w:p>
            <w:pPr>
              <w:pStyle w:val="TableContents"/>
              <w:bidi w:val="0"/>
              <w:spacing w:before="0" w:after="283"/>
              <w:jc w:val="left"/>
              <w:rPr/>
            </w:pPr>
            <w:r>
              <w:rPr>
                <w:rFonts w:ascii="Times New Roman;Times;Serif" w:hAnsi="Times New Roman;Times;Serif"/>
                <w:sz w:val="20"/>
              </w:rPr>
              <w:t>4.3</w:t>
            </w:r>
            <w:r>
              <w:rPr/>
              <w:t xml:space="preserve"> </w:t>
            </w:r>
          </w:p>
        </w:tc>
        <w:tc>
          <w:tcPr>
            <w:tcW w:w="80" w:type="dxa"/>
            <w:tcBorders/>
            <w:shd w:fill="CCEEFF" w:val="clear"/>
            <w:vAlign w:val="center"/>
          </w:tcPr>
          <w:p>
            <w:pPr>
              <w:pStyle w:val="TableContents"/>
              <w:bidi w:val="0"/>
              <w:spacing w:before="0" w:after="283"/>
              <w:jc w:val="left"/>
              <w:rPr/>
            </w:pPr>
            <w:r>
              <w:rPr/>
              <w:t xml:space="preserve">  </w:t>
            </w:r>
          </w:p>
        </w:tc>
        <w:tc>
          <w:tcPr>
            <w:tcW w:w="9644" w:type="dxa"/>
            <w:tcBorders/>
            <w:shd w:fill="CCEEFF" w:val="clear"/>
            <w:vAlign w:val="center"/>
          </w:tcPr>
          <w:p>
            <w:pPr>
              <w:pStyle w:val="TableContents"/>
              <w:bidi w:val="0"/>
              <w:spacing w:before="0" w:after="283"/>
              <w:jc w:val="left"/>
              <w:rPr/>
            </w:pPr>
            <w:hyperlink r:id="rId30">
              <w:r>
                <w:rPr>
                  <w:rStyle w:val="InternetLink"/>
                  <w:rFonts w:ascii="Times New Roman;Times;Serif" w:hAnsi="Times New Roman;Times;Serif"/>
                  <w:sz w:val="20"/>
                </w:rPr>
                <w:t>Form of Warrant (incorporated by reference to Exhibit 4.1 of the Company’s Form 6-K filed with the SEC on April 29, 2026)</w:t>
              </w:r>
            </w:hyperlink>
            <w:r>
              <w:rPr/>
              <w:t xml:space="preserve"> </w:t>
            </w:r>
          </w:p>
        </w:tc>
      </w:tr>
      <w:tr>
        <w:trPr/>
        <w:tc>
          <w:tcPr>
            <w:tcW w:w="481" w:type="dxa"/>
            <w:tcBorders/>
            <w:shd w:fill="FFFFFF" w:val="clear"/>
            <w:vAlign w:val="center"/>
          </w:tcPr>
          <w:p>
            <w:pPr>
              <w:pStyle w:val="TableContents"/>
              <w:bidi w:val="0"/>
              <w:spacing w:before="0" w:after="283"/>
              <w:jc w:val="left"/>
              <w:rPr/>
            </w:pPr>
            <w:r>
              <w:rPr>
                <w:rFonts w:ascii="Times New Roman;Times;Serif" w:hAnsi="Times New Roman;Times;Serif"/>
                <w:sz w:val="20"/>
              </w:rPr>
              <w:t>5.1**</w:t>
            </w:r>
            <w:r>
              <w:rPr/>
              <w:t xml:space="preserve"> </w:t>
            </w:r>
          </w:p>
        </w:tc>
        <w:tc>
          <w:tcPr>
            <w:tcW w:w="80" w:type="dxa"/>
            <w:tcBorders/>
            <w:shd w:fill="FFFFFF" w:val="clear"/>
            <w:vAlign w:val="center"/>
          </w:tcPr>
          <w:p>
            <w:pPr>
              <w:pStyle w:val="TableContents"/>
              <w:bidi w:val="0"/>
              <w:spacing w:before="0" w:after="283"/>
              <w:jc w:val="left"/>
              <w:rPr/>
            </w:pPr>
            <w:r>
              <w:rPr/>
              <w:t xml:space="preserve">  </w:t>
            </w:r>
          </w:p>
        </w:tc>
        <w:tc>
          <w:tcPr>
            <w:tcW w:w="9644"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sz w:val="20"/>
                </w:rPr>
                <w:t>Opinion of Carey Olsen Singapore LLP as to validity of Ordinary Shares</w:t>
              </w:r>
            </w:hyperlink>
            <w:r>
              <w:rPr/>
              <w:t xml:space="preserve"> </w:t>
            </w:r>
          </w:p>
        </w:tc>
      </w:tr>
      <w:tr>
        <w:trPr/>
        <w:tc>
          <w:tcPr>
            <w:tcW w:w="481" w:type="dxa"/>
            <w:tcBorders/>
            <w:shd w:fill="CCEEFF" w:val="clear"/>
            <w:vAlign w:val="center"/>
          </w:tcPr>
          <w:p>
            <w:pPr>
              <w:pStyle w:val="TableContents"/>
              <w:bidi w:val="0"/>
              <w:spacing w:before="0" w:after="283"/>
              <w:jc w:val="left"/>
              <w:rPr/>
            </w:pPr>
            <w:r>
              <w:rPr>
                <w:rFonts w:ascii="Times New Roman;Times;Serif" w:hAnsi="Times New Roman;Times;Serif"/>
                <w:sz w:val="20"/>
              </w:rPr>
              <w:t>10.1</w:t>
            </w:r>
            <w:r>
              <w:rPr/>
              <w:t xml:space="preserve"> </w:t>
            </w:r>
          </w:p>
        </w:tc>
        <w:tc>
          <w:tcPr>
            <w:tcW w:w="80" w:type="dxa"/>
            <w:tcBorders/>
            <w:shd w:fill="CCEEFF" w:val="clear"/>
            <w:vAlign w:val="center"/>
          </w:tcPr>
          <w:p>
            <w:pPr>
              <w:pStyle w:val="TableContents"/>
              <w:bidi w:val="0"/>
              <w:spacing w:before="0" w:after="283"/>
              <w:jc w:val="left"/>
              <w:rPr/>
            </w:pPr>
            <w:r>
              <w:rPr/>
              <w:t xml:space="preserve">  </w:t>
            </w:r>
          </w:p>
        </w:tc>
        <w:tc>
          <w:tcPr>
            <w:tcW w:w="9644"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 xml:space="preserve">Assignment, Assumption and Amendment Agreement by and among RFAC, the Company and Continental Stock Transfer &amp; Trust Company dated February 13, 2025 (incorporated by reference to Exhibit 10.1 of the Company’s Shell Company Report on Form 20-F filed with the SEC on February 26, 2025). </w:t>
              </w:r>
            </w:hyperlink>
          </w:p>
        </w:tc>
      </w:tr>
      <w:tr>
        <w:trPr/>
        <w:tc>
          <w:tcPr>
            <w:tcW w:w="481" w:type="dxa"/>
            <w:tcBorders/>
            <w:shd w:fill="FFFFFF" w:val="clear"/>
            <w:vAlign w:val="center"/>
          </w:tcPr>
          <w:p>
            <w:pPr>
              <w:pStyle w:val="TableContents"/>
              <w:bidi w:val="0"/>
              <w:spacing w:before="0" w:after="283"/>
              <w:jc w:val="left"/>
              <w:rPr/>
            </w:pPr>
            <w:r>
              <w:rPr>
                <w:rFonts w:ascii="Times New Roman;Times;Serif" w:hAnsi="Times New Roman;Times;Serif"/>
                <w:sz w:val="20"/>
              </w:rPr>
              <w:t>10.2</w:t>
            </w:r>
            <w:r>
              <w:rPr/>
              <w:t xml:space="preserve"> </w:t>
            </w:r>
          </w:p>
        </w:tc>
        <w:tc>
          <w:tcPr>
            <w:tcW w:w="80" w:type="dxa"/>
            <w:tcBorders/>
            <w:shd w:fill="FFFFFF" w:val="clear"/>
            <w:vAlign w:val="center"/>
          </w:tcPr>
          <w:p>
            <w:pPr>
              <w:pStyle w:val="TableContents"/>
              <w:bidi w:val="0"/>
              <w:spacing w:before="0" w:after="283"/>
              <w:jc w:val="left"/>
              <w:rPr/>
            </w:pPr>
            <w:r>
              <w:rPr/>
              <w:t xml:space="preserve">  </w:t>
            </w:r>
          </w:p>
        </w:tc>
        <w:tc>
          <w:tcPr>
            <w:tcW w:w="9644"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sz w:val="20"/>
                </w:rPr>
                <w:t>Registration Rights Agreement by and among the Company, GCL Global Limited and certain holders named therein, dated February 13, 2025 (incorporated by reference to Exhibit 10.2 of the Company’s Shell Company Report on Form 20-F filed with the SEC on February 26, 2025)</w:t>
              </w:r>
            </w:hyperlink>
            <w:r>
              <w:rPr/>
              <w:t xml:space="preserve"> </w:t>
            </w:r>
          </w:p>
        </w:tc>
      </w:tr>
      <w:tr>
        <w:trPr/>
        <w:tc>
          <w:tcPr>
            <w:tcW w:w="481" w:type="dxa"/>
            <w:tcBorders/>
            <w:shd w:fill="CCEEFF" w:val="clear"/>
            <w:vAlign w:val="center"/>
          </w:tcPr>
          <w:p>
            <w:pPr>
              <w:pStyle w:val="TableContents"/>
              <w:bidi w:val="0"/>
              <w:spacing w:before="0" w:after="283"/>
              <w:jc w:val="left"/>
              <w:rPr/>
            </w:pPr>
            <w:r>
              <w:rPr>
                <w:rFonts w:ascii="Times New Roman;Times;Serif" w:hAnsi="Times New Roman;Times;Serif"/>
                <w:sz w:val="20"/>
              </w:rPr>
              <w:t>10.3</w:t>
            </w:r>
            <w:r>
              <w:rPr/>
              <w:t xml:space="preserve"> </w:t>
            </w:r>
          </w:p>
        </w:tc>
        <w:tc>
          <w:tcPr>
            <w:tcW w:w="80" w:type="dxa"/>
            <w:tcBorders/>
            <w:shd w:fill="CCEEFF" w:val="clear"/>
            <w:vAlign w:val="center"/>
          </w:tcPr>
          <w:p>
            <w:pPr>
              <w:pStyle w:val="TableContents"/>
              <w:bidi w:val="0"/>
              <w:spacing w:before="0" w:after="283"/>
              <w:jc w:val="left"/>
              <w:rPr/>
            </w:pPr>
            <w:r>
              <w:rPr/>
              <w:t xml:space="preserve">  </w:t>
            </w:r>
          </w:p>
        </w:tc>
        <w:tc>
          <w:tcPr>
            <w:tcW w:w="9644"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Bonus Shares Escrow Agreement by and between the Company and Continental Stock Transfer &amp; Trust Company dated February 13, 2025 (incorporated by reference to Exhibit 10.3 of the Company’s Shell Company Report on Form 20-F filed with the SEC on February 26, 2025)</w:t>
              </w:r>
            </w:hyperlink>
            <w:r>
              <w:rPr/>
              <w:t xml:space="preserve"> </w:t>
            </w:r>
          </w:p>
        </w:tc>
      </w:tr>
      <w:tr>
        <w:trPr/>
        <w:tc>
          <w:tcPr>
            <w:tcW w:w="481" w:type="dxa"/>
            <w:tcBorders/>
            <w:shd w:fill="FFFFFF" w:val="clear"/>
            <w:vAlign w:val="center"/>
          </w:tcPr>
          <w:p>
            <w:pPr>
              <w:pStyle w:val="TableContents"/>
              <w:bidi w:val="0"/>
              <w:spacing w:before="0" w:after="283"/>
              <w:jc w:val="left"/>
              <w:rPr/>
            </w:pPr>
            <w:r>
              <w:rPr>
                <w:rFonts w:ascii="Times New Roman;Times;Serif" w:hAnsi="Times New Roman;Times;Serif"/>
                <w:sz w:val="20"/>
              </w:rPr>
              <w:t>10.4</w:t>
            </w:r>
            <w:r>
              <w:rPr/>
              <w:t xml:space="preserve"> </w:t>
            </w:r>
          </w:p>
        </w:tc>
        <w:tc>
          <w:tcPr>
            <w:tcW w:w="80" w:type="dxa"/>
            <w:tcBorders/>
            <w:shd w:fill="FFFFFF" w:val="clear"/>
            <w:vAlign w:val="center"/>
          </w:tcPr>
          <w:p>
            <w:pPr>
              <w:pStyle w:val="TableContents"/>
              <w:bidi w:val="0"/>
              <w:spacing w:before="0" w:after="283"/>
              <w:jc w:val="left"/>
              <w:rPr/>
            </w:pPr>
            <w:r>
              <w:rPr/>
              <w:t xml:space="preserve">  </w:t>
            </w:r>
          </w:p>
        </w:tc>
        <w:tc>
          <w:tcPr>
            <w:tcW w:w="9644"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sz w:val="20"/>
                </w:rPr>
                <w:t>Share Escrow Agreement by and between the Company and Continental Stock Transfer &amp; Trust Company dated February 13, 2025 (incorporated by reference to Exhibit 10.4 of the Company’s Shell Company Report on Form 20-F filed with the SEC on February 26, 2025)</w:t>
              </w:r>
            </w:hyperlink>
            <w:r>
              <w:rPr/>
              <w:t xml:space="preserve"> </w:t>
            </w:r>
          </w:p>
        </w:tc>
      </w:tr>
      <w:tr>
        <w:trPr/>
        <w:tc>
          <w:tcPr>
            <w:tcW w:w="481" w:type="dxa"/>
            <w:tcBorders/>
            <w:shd w:fill="CCEEFF" w:val="clear"/>
            <w:vAlign w:val="center"/>
          </w:tcPr>
          <w:p>
            <w:pPr>
              <w:pStyle w:val="TableContents"/>
              <w:bidi w:val="0"/>
              <w:spacing w:before="0" w:after="283"/>
              <w:jc w:val="left"/>
              <w:rPr/>
            </w:pPr>
            <w:r>
              <w:rPr>
                <w:rFonts w:ascii="Times New Roman;Times;Serif" w:hAnsi="Times New Roman;Times;Serif"/>
                <w:sz w:val="20"/>
              </w:rPr>
              <w:t>10.5</w:t>
            </w:r>
            <w:r>
              <w:rPr/>
              <w:t xml:space="preserve"> </w:t>
            </w:r>
          </w:p>
        </w:tc>
        <w:tc>
          <w:tcPr>
            <w:tcW w:w="80" w:type="dxa"/>
            <w:tcBorders/>
            <w:shd w:fill="CCEEFF" w:val="clear"/>
            <w:vAlign w:val="center"/>
          </w:tcPr>
          <w:p>
            <w:pPr>
              <w:pStyle w:val="TableContents"/>
              <w:bidi w:val="0"/>
              <w:spacing w:before="0" w:after="283"/>
              <w:jc w:val="left"/>
              <w:rPr/>
            </w:pPr>
            <w:r>
              <w:rPr/>
              <w:t xml:space="preserve">  </w:t>
            </w:r>
          </w:p>
        </w:tc>
        <w:tc>
          <w:tcPr>
            <w:tcW w:w="9644"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 xml:space="preserve">Form of Convertible Note Purchase Agreement (incorporated by reference to Exhibit 10.1 to the Form 8-K filed by RF Acquisition Corp. on October 18, 2024) </w:t>
              </w:r>
            </w:hyperlink>
          </w:p>
        </w:tc>
      </w:tr>
    </w:tbl>
    <w:p>
      <w:pPr>
        <w:pStyle w:val="TextBody"/>
        <w:bidi w:val="0"/>
        <w:spacing w:before="0" w:after="283"/>
        <w:jc w:val="left"/>
        <w:rPr/>
      </w:pPr>
      <w:r>
        <w:rPr/>
        <w:t> </w:t>
      </w:r>
    </w:p>
    <w:p>
      <w:pPr>
        <w:pStyle w:val="TextBody"/>
        <w:bidi w:val="0"/>
        <w:spacing w:before="0" w:after="0"/>
        <w:ind w:left="960" w:right="0" w:hanging="960"/>
        <w:jc w:val="center"/>
        <w:rPr>
          <w:bdr w:val="single" w:sz="12" w:space="1" w:color="000000"/>
        </w:rPr>
      </w:pPr>
      <w:r>
        <w:rPr>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960" w:right="0" w:hanging="960"/>
        <w:jc w:val="both"/>
        <w:rPr>
          <w:caps w:val="false"/>
          <w:smallCaps w:val="false"/>
        </w:rPr>
      </w:pPr>
      <w:r>
        <w:rPr>
          <w:caps w:val="false"/>
          <w:smallCaps w:val="false"/>
        </w:rPr>
        <w:t> </w:t>
      </w:r>
    </w:p>
    <w:tbl>
      <w:tblPr>
        <w:tblW w:w="10205" w:type="dxa"/>
        <w:jc w:val="left"/>
        <w:tblInd w:w="0" w:type="dxa"/>
        <w:shd w:fill="CCEEFF" w:val="clear"/>
        <w:tblLayout w:type="fixed"/>
        <w:tblCellMar>
          <w:top w:w="0" w:type="dxa"/>
          <w:left w:w="0" w:type="dxa"/>
          <w:bottom w:w="0" w:type="dxa"/>
          <w:right w:w="0" w:type="dxa"/>
        </w:tblCellMar>
      </w:tblPr>
      <w:tblGrid>
        <w:gridCol w:w="623"/>
        <w:gridCol w:w="81"/>
        <w:gridCol w:w="9501"/>
      </w:tblGrid>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10.5.1</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sz w:val="20"/>
                </w:rPr>
                <w:t>Form of Amendment to Convertible Note Purchase Agreement (incorporated by reference to Exhibit 10.1 to the Form 8-K filed by RF Acquisition Corp. on February 5, 2025)</w:t>
              </w:r>
            </w:hyperlink>
            <w:r>
              <w:rPr/>
              <w:t xml:space="preserve"> </w:t>
            </w:r>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10.6</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r:id="rId38">
              <w:r>
                <w:rPr>
                  <w:rStyle w:val="InternetLink"/>
                  <w:rFonts w:ascii="Times New Roman;Times;Serif" w:hAnsi="Times New Roman;Times;Serif"/>
                  <w:sz w:val="20"/>
                </w:rPr>
                <w:t>Series B Preferred Stock Purchase Agreement by and between GCL Global Limited and Nekcom Inc. dated November 20, 2024 (incorporated by reference to Exhibit 10.24 of the Company’s registration statement on Form F-4 (File 333-280559) filed with the SEC on December 26, 2024)</w:t>
              </w:r>
            </w:hyperlink>
            <w:r>
              <w:rPr/>
              <w:t xml:space="preserve"> </w:t>
            </w:r>
          </w:p>
        </w:tc>
      </w:tr>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10.6.1</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sz w:val="20"/>
                </w:rPr>
                <w:t>Addendum to Payment Rescheduling Agreement by and among GCL Global Limited, Nekcom Inc. and other parties named therein dated July 10, 2025 (incorporated by reference to Exhibit 10.6.1 to the Company’s Form 20-F filed with the SEC on July 31, 2025)</w:t>
              </w:r>
            </w:hyperlink>
            <w:r>
              <w:rPr/>
              <w:t xml:space="preserve"> </w:t>
            </w:r>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10.6.2</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r:id="rId40">
              <w:r>
                <w:rPr>
                  <w:rStyle w:val="InternetLink"/>
                  <w:rFonts w:ascii="Times New Roman;Times;Serif" w:hAnsi="Times New Roman;Times;Serif"/>
                  <w:sz w:val="20"/>
                </w:rPr>
                <w:t>First Amendment to Series B Preferred Stock Purchase Agreement between GCL Global Limited and Nekcom Inc., dated May 15, 2025 (incorporated by reference to Exhibit 99.4 of the Company’s Form 6-K, filed with the SEC on January 30, 2026)</w:t>
              </w:r>
            </w:hyperlink>
            <w:r>
              <w:rPr/>
              <w:t xml:space="preserve"> </w:t>
            </w:r>
          </w:p>
        </w:tc>
      </w:tr>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10.7</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sz w:val="20"/>
                </w:rPr>
                <w:t xml:space="preserve">Securities Purchase Agreement between the Company and the investor named therein, dated May 21, 2025 (incorporated by reference to Exhibit 10.7 to the Company’s Form 20-F filed with the SEC on July 31, 2025) </w:t>
              </w:r>
            </w:hyperlink>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10.7.1</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sz w:val="20"/>
                </w:rPr>
                <w:t>Form of Amendment, Waiver and Exchange Agreement (incorporated by reference to Exhibit 10.1 to the Company’s Form 6-K filed with the SEC on April 29, 2026)</w:t>
              </w:r>
            </w:hyperlink>
            <w:r>
              <w:rPr/>
              <w:t xml:space="preserve"> </w:t>
            </w:r>
          </w:p>
        </w:tc>
      </w:tr>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10.8</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sz w:val="20"/>
                </w:rPr>
                <w:t>Registration Rights Agreement between the Company and the buyer named therein, dated May 21, 2025 (incorporated by reference to Exhibit 10.8 to the Company’s Form 20-F filed with the SEC on July 31, 2025)</w:t>
              </w:r>
            </w:hyperlink>
            <w:r>
              <w:rPr/>
              <w:t xml:space="preserve"> </w:t>
            </w:r>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10.9#</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r:id="rId44">
              <w:r>
                <w:rPr>
                  <w:rStyle w:val="InternetLink"/>
                  <w:rFonts w:ascii="Times New Roman;Times;Serif" w:hAnsi="Times New Roman;Times;Serif"/>
                  <w:sz w:val="20"/>
                </w:rPr>
                <w:t>Sales and Purchase Agreement by and between Ludus Asia Pte. Ltd. and Vendors dated July 31, 2022 (incorporated by reference to Exhibit 10.5 of the Company’s registration statement on Form F-4 (File 333-280559) filed with the SEC on December 26, 2024)</w:t>
              </w:r>
            </w:hyperlink>
            <w:r>
              <w:rPr/>
              <w:t xml:space="preserve"> </w:t>
            </w:r>
          </w:p>
        </w:tc>
      </w:tr>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10.10</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sz w:val="20"/>
                </w:rPr>
                <w:t>The First Contract Addendum for the Sales and Purchase Agreement by and between Ludus Asia Pte. Ltd. and Vendors dated July 31, 2022 (incorporated by reference to Exhibit 10.6 of the Company’s registration statement on Form F-4 (File 333-280559) filed with the SEC on December 26, 2024)</w:t>
              </w:r>
            </w:hyperlink>
            <w:r>
              <w:rPr/>
              <w:t xml:space="preserve"> </w:t>
            </w:r>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10.11</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r:id="rId46">
              <w:r>
                <w:rPr>
                  <w:rStyle w:val="InternetLink"/>
                  <w:rFonts w:ascii="Times New Roman;Times;Serif" w:hAnsi="Times New Roman;Times;Serif"/>
                  <w:sz w:val="20"/>
                </w:rPr>
                <w:t>The Second Contract Addendum for the Sales and Purchase Agreement by and between Ludus Asia Pte. Ltd. and Vendors dated October 17, 2023 (incorporated by reference to Exhibit 10.7 of the Company’s registration statement on Form F-4 (File 333-280559) filed with the SEC on December 26, 2024)</w:t>
              </w:r>
            </w:hyperlink>
            <w:r>
              <w:rPr/>
              <w:t xml:space="preserve"> </w:t>
            </w:r>
          </w:p>
        </w:tc>
      </w:tr>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10.12</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sz w:val="20"/>
                </w:rPr>
                <w:t>The Third Contract Addendum for the Sales and Purchase Agreement by and between GCL Global Pte. Ltd. (formerly known as Ludus Asia Pte. Ltd.) and Vendors dated December 29, 2024 (incorporated by reference to Exhibit 10.12 to the Company’s Form 20-F filed with the SEC on July 31, 2025)</w:t>
              </w:r>
            </w:hyperlink>
            <w:r>
              <w:rPr/>
              <w:t xml:space="preserve"> </w:t>
            </w:r>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10.13##</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r:id="rId48">
              <w:r>
                <w:rPr>
                  <w:rStyle w:val="InternetLink"/>
                  <w:rFonts w:ascii="Times New Roman;Times;Serif" w:hAnsi="Times New Roman;Times;Serif"/>
                  <w:sz w:val="20"/>
                </w:rPr>
                <w:t>Share Sale and Purchase Agreement dated March 19, 2025 by and between GCL Global Pte. Ltd. and parties named therein (incorporated by reference to Exhibit 10.13 to the Company’s Form 20-F filed with the SEC on July 31, 2025)</w:t>
              </w:r>
            </w:hyperlink>
            <w:r>
              <w:rPr/>
              <w:t xml:space="preserve"> </w:t>
            </w:r>
          </w:p>
        </w:tc>
      </w:tr>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10.14</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sz w:val="20"/>
                </w:rPr>
                <w:t>Form of Director Indemnification Agreement (incorporated by reference to Exhibit 10.6 of the Company’s Shell Company Report on Form 20-F filed with the SEC on February 26, 2025)</w:t>
              </w:r>
            </w:hyperlink>
            <w:r>
              <w:rPr/>
              <w:t xml:space="preserve"> </w:t>
            </w:r>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10.15</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r:id="rId50">
              <w:r>
                <w:rPr>
                  <w:rStyle w:val="InternetLink"/>
                  <w:rFonts w:ascii="Times New Roman;Times;Serif" w:hAnsi="Times New Roman;Times;Serif"/>
                  <w:sz w:val="20"/>
                </w:rPr>
                <w:t>Equity Incentive Plan, effective February 13, 2025 (incorporated by reference to Exhibit 4.2 of the Company’s Form S-8 filed with the SEC on May 1, 2025)</w:t>
              </w:r>
            </w:hyperlink>
            <w:r>
              <w:rPr/>
              <w:t xml:space="preserve"> </w:t>
            </w:r>
          </w:p>
        </w:tc>
      </w:tr>
      <w:tr>
        <w:trPr/>
        <w:tc>
          <w:tcPr>
            <w:tcW w:w="623" w:type="dxa"/>
            <w:tcBorders/>
            <w:shd w:fill="CCEEFF" w:val="clear"/>
            <w:vAlign w:val="center"/>
          </w:tcPr>
          <w:p>
            <w:pPr>
              <w:pStyle w:val="TableContents"/>
              <w:bidi w:val="0"/>
              <w:spacing w:before="0" w:after="283"/>
              <w:jc w:val="left"/>
              <w:rPr/>
            </w:pPr>
            <w:r>
              <w:rPr>
                <w:rFonts w:ascii="Times New Roman;Times;Serif" w:hAnsi="Times New Roman;Times;Serif"/>
                <w:sz w:val="20"/>
              </w:rPr>
              <w:t>21.1</w:t>
            </w:r>
            <w:r>
              <w:rPr/>
              <w:t xml:space="preserve"> </w:t>
            </w:r>
          </w:p>
        </w:tc>
        <w:tc>
          <w:tcPr>
            <w:tcW w:w="81" w:type="dxa"/>
            <w:tcBorders/>
            <w:shd w:fill="CCEEFF" w:val="clear"/>
            <w:vAlign w:val="center"/>
          </w:tcPr>
          <w:p>
            <w:pPr>
              <w:pStyle w:val="TableContents"/>
              <w:bidi w:val="0"/>
              <w:spacing w:before="0" w:after="283"/>
              <w:jc w:val="left"/>
              <w:rPr/>
            </w:pPr>
            <w:r>
              <w:rPr/>
              <w:t xml:space="preserve">  </w:t>
            </w:r>
          </w:p>
        </w:tc>
        <w:tc>
          <w:tcPr>
            <w:tcW w:w="9501"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sz w:val="20"/>
                </w:rPr>
                <w:t>List of Subsidiaries (incorporated by reference to Exhibit 21 of the Company’s Form 20-F filed on July 31, 2025)</w:t>
              </w:r>
            </w:hyperlink>
            <w:r>
              <w:rPr/>
              <w:t xml:space="preserve"> </w:t>
            </w:r>
          </w:p>
        </w:tc>
      </w:tr>
      <w:tr>
        <w:trPr/>
        <w:tc>
          <w:tcPr>
            <w:tcW w:w="623" w:type="dxa"/>
            <w:tcBorders/>
            <w:shd w:fill="FFFFFF" w:val="clear"/>
            <w:vAlign w:val="center"/>
          </w:tcPr>
          <w:p>
            <w:pPr>
              <w:pStyle w:val="TableContents"/>
              <w:bidi w:val="0"/>
              <w:spacing w:before="0" w:after="283"/>
              <w:jc w:val="left"/>
              <w:rPr/>
            </w:pPr>
            <w:r>
              <w:rPr>
                <w:rFonts w:ascii="Times New Roman;Times;Serif" w:hAnsi="Times New Roman;Times;Serif"/>
                <w:sz w:val="20"/>
              </w:rPr>
              <w:t>23.1*</w:t>
            </w:r>
            <w:r>
              <w:rPr/>
              <w:t xml:space="preserve"> </w:t>
            </w:r>
          </w:p>
        </w:tc>
        <w:tc>
          <w:tcPr>
            <w:tcW w:w="81" w:type="dxa"/>
            <w:tcBorders/>
            <w:shd w:fill="FFFFFF" w:val="clear"/>
            <w:vAlign w:val="center"/>
          </w:tcPr>
          <w:p>
            <w:pPr>
              <w:pStyle w:val="TableContents"/>
              <w:bidi w:val="0"/>
              <w:spacing w:before="0" w:after="283"/>
              <w:jc w:val="left"/>
              <w:rPr/>
            </w:pPr>
            <w:r>
              <w:rPr/>
              <w:t xml:space="preserve">  </w:t>
            </w:r>
          </w:p>
        </w:tc>
        <w:tc>
          <w:tcPr>
            <w:tcW w:w="9501" w:type="dxa"/>
            <w:tcBorders/>
            <w:shd w:fill="FFFFFF" w:val="clear"/>
            <w:vAlign w:val="center"/>
          </w:tcPr>
          <w:p>
            <w:pPr>
              <w:pStyle w:val="TableContents"/>
              <w:bidi w:val="0"/>
              <w:spacing w:before="0" w:after="283"/>
              <w:jc w:val="both"/>
              <w:rPr/>
            </w:pPr>
            <w:hyperlink w:anchor="ea028939201ex23-1.htm">
              <w:r>
                <w:rPr>
                  <w:rStyle w:val="InternetLink"/>
                  <w:rFonts w:ascii="Times New Roman;Times;Serif" w:hAnsi="Times New Roman;Times;Serif"/>
                  <w:sz w:val="20"/>
                </w:rPr>
                <w:t>Consent from Marcum Asia LLP</w:t>
              </w:r>
            </w:hyperlink>
            <w:hyperlink w:anchor="ea028939201ex23-1.htm">
              <w:r>
                <w:rPr>
                  <w:rStyle w:val="InternetLink"/>
                </w:rPr>
                <w:t xml:space="preserve"> </w:t>
              </w:r>
            </w:hyperlink>
          </w:p>
        </w:tc>
      </w:tr>
      <w:tr>
        <w:trPr/>
        <w:tc>
          <w:tcPr>
            <w:tcW w:w="623" w:type="dxa"/>
            <w:tcBorders/>
            <w:shd w:fill="CCEEFF" w:val="clear"/>
            <w:vAlign w:val="center"/>
          </w:tcPr>
          <w:p>
            <w:pPr>
              <w:pStyle w:val="TableContents"/>
              <w:bidi w:val="0"/>
              <w:spacing w:before="0" w:after="283"/>
              <w:jc w:val="both"/>
              <w:rPr/>
            </w:pPr>
            <w:r>
              <w:rPr>
                <w:rFonts w:ascii="Times New Roman;Times;Serif" w:hAnsi="Times New Roman;Times;Serif"/>
                <w:sz w:val="20"/>
              </w:rPr>
              <w:t>107**</w:t>
            </w:r>
            <w:r>
              <w:rPr/>
              <w:t xml:space="preserve"> </w:t>
            </w:r>
          </w:p>
        </w:tc>
        <w:tc>
          <w:tcPr>
            <w:tcW w:w="81" w:type="dxa"/>
            <w:tcBorders/>
            <w:shd w:fill="CCEEFF" w:val="clear"/>
            <w:vAlign w:val="center"/>
          </w:tcPr>
          <w:p>
            <w:pPr>
              <w:pStyle w:val="TableContents"/>
              <w:bidi w:val="0"/>
              <w:spacing w:before="0" w:after="283"/>
              <w:jc w:val="both"/>
              <w:rPr/>
            </w:pPr>
            <w:r>
              <w:rPr/>
              <w:t xml:space="preserve">  </w:t>
            </w:r>
          </w:p>
        </w:tc>
        <w:tc>
          <w:tcPr>
            <w:tcW w:w="9501"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sz w:val="20"/>
                </w:rPr>
                <w:t>Filing Fee Table</w:t>
              </w:r>
            </w:hyperlink>
            <w:r>
              <w:rPr/>
              <w:t xml:space="preserve"> </w:t>
            </w:r>
          </w:p>
        </w:tc>
      </w:tr>
    </w:tbl>
    <w:p>
      <w:pPr>
        <w:pStyle w:val="TextBody"/>
        <w:bidi w:val="0"/>
        <w:spacing w:before="0" w:after="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8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310" w:type="dxa"/>
            <w:tcBorders/>
            <w:vAlign w:val="center"/>
          </w:tcPr>
          <w:p>
            <w:pPr>
              <w:pStyle w:val="TableContents"/>
              <w:bidi w:val="0"/>
              <w:spacing w:before="0" w:after="283"/>
              <w:jc w:val="both"/>
              <w:rPr/>
            </w:pPr>
            <w:r>
              <w:rPr>
                <w:rFonts w:ascii="Times New Roman;Times;Serif" w:hAnsi="Times New Roman;Times;Serif"/>
                <w:sz w:val="20"/>
              </w:rPr>
              <w:t>Filed herewith.</w:t>
            </w:r>
            <w:r>
              <w:rPr/>
              <w:t xml:space="preserve"> </w:t>
            </w:r>
          </w:p>
        </w:tc>
      </w:tr>
    </w:tbl>
    <w:tbl>
      <w:tblPr>
        <w:tblW w:w="1758" w:type="dxa"/>
        <w:jc w:val="left"/>
        <w:tblInd w:w="0" w:type="dxa"/>
        <w:tblLayout w:type="fixed"/>
        <w:tblCellMar>
          <w:top w:w="0" w:type="dxa"/>
          <w:left w:w="0" w:type="dxa"/>
          <w:bottom w:w="0" w:type="dxa"/>
          <w:right w:w="0" w:type="dxa"/>
        </w:tblCellMar>
      </w:tblPr>
      <w:tblGrid>
        <w:gridCol w:w="38"/>
        <w:gridCol w:w="29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430" w:type="dxa"/>
            <w:tcBorders/>
            <w:vAlign w:val="center"/>
          </w:tcPr>
          <w:p>
            <w:pPr>
              <w:pStyle w:val="TableContents"/>
              <w:bidi w:val="0"/>
              <w:spacing w:before="0" w:after="283"/>
              <w:jc w:val="both"/>
              <w:rPr/>
            </w:pPr>
            <w:r>
              <w:rPr>
                <w:rFonts w:ascii="Times New Roman;Times;Serif" w:hAnsi="Times New Roman;Times;Serif"/>
                <w:sz w:val="20"/>
              </w:rPr>
              <w:t>Previously filed.</w:t>
            </w:r>
            <w:r>
              <w:rPr/>
              <w:t xml:space="preserve"> </w:t>
            </w:r>
          </w:p>
        </w:tc>
      </w:tr>
    </w:tbl>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0021" w:type="dxa"/>
            <w:tcBorders/>
            <w:vAlign w:val="center"/>
          </w:tcPr>
          <w:p>
            <w:pPr>
              <w:pStyle w:val="TableContents"/>
              <w:bidi w:val="0"/>
              <w:spacing w:before="0" w:after="283"/>
              <w:jc w:val="both"/>
              <w:rPr/>
            </w:pPr>
            <w:r>
              <w:rPr>
                <w:rFonts w:ascii="Times New Roman;Times;Serif" w:hAnsi="Times New Roman;Times;Serif"/>
                <w:sz w:val="20"/>
              </w:rPr>
              <w:t>Certain exhibits and schedules to this Exhibit have been omitted in accordance with Regulation S-K Item 601(a)(5). The Company agrees to furnish supplementally a copy of any omitted exhibit or schedule to the SEC upon its request; however, the Company may request confidential treatment of omitted items.</w:t>
            </w:r>
            <w:r>
              <w:rPr/>
              <w:t xml:space="preserve"> </w:t>
            </w:r>
          </w:p>
        </w:tc>
      </w:tr>
    </w:tbl>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9983" w:type="dxa"/>
            <w:tcBorders/>
            <w:vAlign w:val="center"/>
          </w:tcPr>
          <w:p>
            <w:pPr>
              <w:pStyle w:val="TableContents"/>
              <w:bidi w:val="0"/>
              <w:spacing w:before="0" w:after="283"/>
              <w:jc w:val="both"/>
              <w:rPr/>
            </w:pPr>
            <w:r>
              <w:rPr>
                <w:rFonts w:ascii="Times New Roman;Times;Serif" w:hAnsi="Times New Roman;Times;Serif"/>
                <w:sz w:val="20"/>
              </w:rPr>
              <w:t>Certain confidential portions of this exhibit were omitted by means of marking such portions with brackets and asterisks because the identified confidential portions (i) are not material and (ii) would be competitively harmful if publicly disclosed, or constituted personally identifiable information that is not material.</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960"/>
        <w:jc w:val="center"/>
        <w:rPr>
          <w:bdr w:val="single" w:sz="12" w:space="1" w:color="000000"/>
        </w:rPr>
      </w:pPr>
      <w:r>
        <w:rPr>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960" w:right="0" w:hanging="960"/>
        <w:jc w:val="both"/>
        <w:rPr>
          <w:caps w:val="false"/>
          <w:smallCaps w:val="false"/>
        </w:rPr>
      </w:pPr>
      <w:r>
        <w:rPr>
          <w:caps w:val="false"/>
          <w:smallCaps w:val="false"/>
        </w:rPr>
        <w:t> </w:t>
      </w:r>
    </w:p>
    <w:p>
      <w:pPr>
        <w:pStyle w:val="TextBody"/>
        <w:bidi w:val="0"/>
        <w:spacing w:before="0" w:after="0"/>
        <w:ind w:left="960" w:right="0" w:hanging="9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 Undertakings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tbl>
      <w:tblPr>
        <w:tblW w:w="4923" w:type="dxa"/>
        <w:jc w:val="left"/>
        <w:tblInd w:w="0" w:type="dxa"/>
        <w:tblLayout w:type="fixed"/>
        <w:tblCellMar>
          <w:top w:w="0" w:type="dxa"/>
          <w:left w:w="0" w:type="dxa"/>
          <w:bottom w:w="0" w:type="dxa"/>
          <w:right w:w="0" w:type="dxa"/>
        </w:tblCellMar>
      </w:tblPr>
      <w:tblGrid>
        <w:gridCol w:w="38"/>
        <w:gridCol w:w="335"/>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 xml:space="preserve">(a) </w:t>
            </w:r>
          </w:p>
        </w:tc>
        <w:tc>
          <w:tcPr>
            <w:tcW w:w="4550" w:type="dxa"/>
            <w:tcBorders/>
            <w:vAlign w:val="center"/>
          </w:tcPr>
          <w:p>
            <w:pPr>
              <w:pStyle w:val="TableContents"/>
              <w:bidi w:val="0"/>
              <w:spacing w:before="0" w:after="283"/>
              <w:jc w:val="both"/>
              <w:rPr/>
            </w:pPr>
            <w:r>
              <w:rPr/>
              <w:t xml:space="preserve">The undersigned Registrant hereby undertakes: </w:t>
            </w:r>
          </w:p>
        </w:tc>
      </w:tr>
    </w:tbl>
    <w:p>
      <w:pPr>
        <w:pStyle w:val="TextBody"/>
        <w:bidi w:val="0"/>
        <w:spacing w:before="0" w:after="0"/>
        <w:ind w:left="960" w:right="0" w:hanging="9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rFonts w:ascii="Times New Roman;Times;Serif" w:hAnsi="Times New Roman;Times;Serif"/>
                <w:sz w:val="20"/>
              </w:rPr>
              <w:t>(1)</w:t>
            </w:r>
            <w:r>
              <w:rPr/>
              <w:t xml:space="preserve"> </w:t>
            </w:r>
          </w:p>
        </w:tc>
        <w:tc>
          <w:tcPr>
            <w:tcW w:w="9865" w:type="dxa"/>
            <w:tcBorders/>
            <w:vAlign w:val="center"/>
          </w:tcPr>
          <w:p>
            <w:pPr>
              <w:pStyle w:val="TableContents"/>
              <w:bidi w:val="0"/>
              <w:spacing w:before="0" w:after="283"/>
              <w:jc w:val="both"/>
              <w:rPr/>
            </w:pPr>
            <w:r>
              <w:rPr>
                <w:rFonts w:ascii="Times New Roman;Times;Serif" w:hAnsi="Times New Roman;Times;Serif"/>
                <w:sz w:val="20"/>
              </w:rPr>
              <w:t>To file, during any period in which offers or sales are being made, a post-effective amendment to this registration statement:</w:t>
            </w:r>
            <w:r>
              <w:rPr/>
              <w:t xml:space="preserve"> </w:t>
            </w:r>
          </w:p>
        </w:tc>
      </w:tr>
    </w:tbl>
    <w:p>
      <w:pPr>
        <w:pStyle w:val="TextBody"/>
        <w:bidi w:val="0"/>
        <w:spacing w:before="0" w:after="0"/>
        <w:ind w:left="1440" w:right="0" w:hanging="360"/>
        <w:jc w:val="both"/>
        <w:rPr>
          <w:caps w:val="false"/>
          <w:smallCaps w:val="false"/>
        </w:rPr>
      </w:pPr>
      <w:r>
        <w:rPr>
          <w:caps w:val="false"/>
          <w:smallCaps w:val="false"/>
        </w:rPr>
        <w:t xml:space="preserve">  </w:t>
      </w:r>
    </w:p>
    <w:tbl>
      <w:tblPr>
        <w:tblW w:w="7278" w:type="dxa"/>
        <w:jc w:val="left"/>
        <w:tblInd w:w="0" w:type="dxa"/>
        <w:tblLayout w:type="fixed"/>
        <w:tblCellMar>
          <w:top w:w="0" w:type="dxa"/>
          <w:left w:w="0" w:type="dxa"/>
          <w:bottom w:w="0" w:type="dxa"/>
          <w:right w:w="0" w:type="dxa"/>
        </w:tblCellMar>
      </w:tblPr>
      <w:tblGrid>
        <w:gridCol w:w="38"/>
        <w:gridCol w:w="26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rFonts w:ascii="Times New Roman;Times;Serif" w:hAnsi="Times New Roman;Times;Serif"/>
                <w:sz w:val="20"/>
              </w:rPr>
              <w:t>(i)</w:t>
            </w:r>
            <w:r>
              <w:rPr/>
              <w:t xml:space="preserve"> </w:t>
            </w:r>
          </w:p>
        </w:tc>
        <w:tc>
          <w:tcPr>
            <w:tcW w:w="6980" w:type="dxa"/>
            <w:tcBorders/>
            <w:vAlign w:val="center"/>
          </w:tcPr>
          <w:p>
            <w:pPr>
              <w:pStyle w:val="TableContents"/>
              <w:bidi w:val="0"/>
              <w:spacing w:before="0" w:after="283"/>
              <w:jc w:val="both"/>
              <w:rPr/>
            </w:pPr>
            <w:r>
              <w:rPr>
                <w:rFonts w:ascii="Times New Roman;Times;Serif" w:hAnsi="Times New Roman;Times;Serif"/>
                <w:sz w:val="20"/>
              </w:rPr>
              <w:t>To include any prospectus required by Section 10(a)(3) of the Securities Act of 1933;</w:t>
            </w:r>
            <w:r>
              <w:rPr/>
              <w:t xml:space="preserve"> </w:t>
            </w:r>
          </w:p>
        </w:tc>
      </w:tr>
    </w:tbl>
    <w:p>
      <w:pPr>
        <w:pStyle w:val="TextBody"/>
        <w:bidi w:val="0"/>
        <w:spacing w:before="0" w:after="0"/>
        <w:ind w:left="144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2"/>
        <w:gridCol w:w="212"/>
        <w:gridCol w:w="9911"/>
      </w:tblGrid>
      <w:tr>
        <w:trPr/>
        <w:tc>
          <w:tcPr>
            <w:tcW w:w="82" w:type="dxa"/>
            <w:tcBorders/>
            <w:vAlign w:val="center"/>
          </w:tcPr>
          <w:p>
            <w:pPr>
              <w:pStyle w:val="TableContents"/>
              <w:bidi w:val="0"/>
              <w:spacing w:before="0" w:after="283"/>
              <w:jc w:val="left"/>
              <w:rPr/>
            </w:pPr>
            <w:r>
              <w:rPr/>
              <w:t xml:space="preserve">  </w:t>
            </w:r>
          </w:p>
        </w:tc>
        <w:tc>
          <w:tcPr>
            <w:tcW w:w="212" w:type="dxa"/>
            <w:tcBorders/>
            <w:vAlign w:val="center"/>
          </w:tcPr>
          <w:p>
            <w:pPr>
              <w:pStyle w:val="TableContents"/>
              <w:bidi w:val="0"/>
              <w:spacing w:before="0" w:after="283"/>
              <w:jc w:val="left"/>
              <w:rPr>
                <w:sz w:val="20"/>
              </w:rPr>
            </w:pPr>
            <w:r>
              <w:rPr>
                <w:rFonts w:ascii="Times New Roman;Times;Serif" w:hAnsi="Times New Roman;Times;Serif"/>
                <w:sz w:val="20"/>
              </w:rPr>
              <w:t>(ii)</w:t>
            </w:r>
            <w:r>
              <w:rPr>
                <w:sz w:val="20"/>
              </w:rPr>
              <w:t xml:space="preserve"> </w:t>
            </w:r>
          </w:p>
        </w:tc>
        <w:tc>
          <w:tcPr>
            <w:tcW w:w="9911" w:type="dxa"/>
            <w:tcBorders/>
            <w:vAlign w:val="center"/>
          </w:tcPr>
          <w:p>
            <w:pPr>
              <w:pStyle w:val="TableContents"/>
              <w:bidi w:val="0"/>
              <w:spacing w:before="0" w:after="283"/>
              <w:jc w:val="both"/>
              <w:rPr>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r>
              <w:rPr>
                <w:sz w:val="20"/>
              </w:rPr>
              <w:t xml:space="preserve"> </w:t>
            </w:r>
          </w:p>
        </w:tc>
      </w:tr>
    </w:tbl>
    <w:p>
      <w:pPr>
        <w:pStyle w:val="TextBody"/>
        <w:bidi w:val="0"/>
        <w:spacing w:before="0" w:after="0"/>
        <w:ind w:left="144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9"/>
        <w:gridCol w:w="319"/>
        <w:gridCol w:w="9777"/>
      </w:tblGrid>
      <w:tr>
        <w:trPr/>
        <w:tc>
          <w:tcPr>
            <w:tcW w:w="109" w:type="dxa"/>
            <w:tcBorders/>
            <w:vAlign w:val="center"/>
          </w:tcPr>
          <w:p>
            <w:pPr>
              <w:pStyle w:val="TableContents"/>
              <w:bidi w:val="0"/>
              <w:spacing w:before="0" w:after="283"/>
              <w:jc w:val="left"/>
              <w:rPr/>
            </w:pPr>
            <w:r>
              <w:rPr/>
              <w:t xml:space="preserve">  </w:t>
            </w:r>
          </w:p>
        </w:tc>
        <w:tc>
          <w:tcPr>
            <w:tcW w:w="319" w:type="dxa"/>
            <w:tcBorders/>
            <w:vAlign w:val="center"/>
          </w:tcPr>
          <w:p>
            <w:pPr>
              <w:pStyle w:val="TableContents"/>
              <w:bidi w:val="0"/>
              <w:spacing w:before="0" w:after="283"/>
              <w:jc w:val="left"/>
              <w:rPr>
                <w:sz w:val="20"/>
              </w:rPr>
            </w:pPr>
            <w:r>
              <w:rPr>
                <w:rFonts w:ascii="Times New Roman;Times;Serif" w:hAnsi="Times New Roman;Times;Serif"/>
                <w:sz w:val="20"/>
              </w:rPr>
              <w:t>(iii)</w:t>
            </w:r>
            <w:r>
              <w:rPr>
                <w:sz w:val="20"/>
              </w:rPr>
              <w:t xml:space="preserve"> </w:t>
            </w:r>
          </w:p>
        </w:tc>
        <w:tc>
          <w:tcPr>
            <w:tcW w:w="9777" w:type="dxa"/>
            <w:tcBorders/>
            <w:vAlign w:val="center"/>
          </w:tcPr>
          <w:p>
            <w:pPr>
              <w:pStyle w:val="TableContents"/>
              <w:bidi w:val="0"/>
              <w:spacing w:before="0" w:after="283"/>
              <w:jc w:val="both"/>
              <w:rPr>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r>
              <w:rPr>
                <w:sz w:val="20"/>
              </w:rPr>
              <w:t xml:space="preserve"> </w:t>
            </w:r>
          </w:p>
        </w:tc>
      </w:tr>
    </w:tbl>
    <w:p>
      <w:pPr>
        <w:pStyle w:val="TextBody"/>
        <w:bidi w:val="0"/>
        <w:spacing w:before="0" w:after="0"/>
        <w:ind w:left="960" w:right="0" w:hanging="360"/>
        <w:jc w:val="both"/>
        <w:rPr>
          <w:caps w:val="false"/>
          <w:smallCaps w:val="false"/>
        </w:rPr>
      </w:pPr>
      <w:r>
        <w:rPr>
          <w:caps w:val="false"/>
          <w:smallCaps w:val="false"/>
        </w:rPr>
        <w:t xml:space="preserve">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(a)(1)(ii) and (a)(1)(iii) do not apply if the registration statement is on Form S-3 or From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ind w:left="96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rFonts w:ascii="Times New Roman;Times;Serif" w:hAnsi="Times New Roman;Times;Serif"/>
                <w:sz w:val="20"/>
              </w:rPr>
              <w:t>(2)</w:t>
            </w:r>
            <w:r>
              <w:rPr/>
              <w:t xml:space="preserve"> </w:t>
            </w:r>
          </w:p>
        </w:tc>
        <w:tc>
          <w:tcPr>
            <w:tcW w:w="9939" w:type="dxa"/>
            <w:tcBorders/>
            <w:vAlign w:val="center"/>
          </w:tcPr>
          <w:p>
            <w:pPr>
              <w:pStyle w:val="TableContents"/>
              <w:bidi w:val="0"/>
              <w:spacing w:before="0" w:after="283"/>
              <w:jc w:val="both"/>
              <w:rPr/>
            </w:pPr>
            <w:r>
              <w:rPr>
                <w:rFonts w:ascii="Times New Roman;Times;Serif" w:hAnsi="Times New Roman;Times;Serif"/>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r>
              <w:rPr/>
              <w:t xml:space="preserve"> </w:t>
            </w:r>
          </w:p>
        </w:tc>
      </w:tr>
    </w:tbl>
    <w:p>
      <w:pPr>
        <w:pStyle w:val="TextBody"/>
        <w:bidi w:val="0"/>
        <w:spacing w:before="0" w:after="0"/>
        <w:ind w:left="96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8"/>
        <w:gridCol w:w="261"/>
        <w:gridCol w:w="9826"/>
      </w:tblGrid>
      <w:tr>
        <w:trPr/>
        <w:tc>
          <w:tcPr>
            <w:tcW w:w="118" w:type="dxa"/>
            <w:tcBorders/>
            <w:vAlign w:val="center"/>
          </w:tcPr>
          <w:p>
            <w:pPr>
              <w:pStyle w:val="TableContents"/>
              <w:bidi w:val="0"/>
              <w:spacing w:before="0" w:after="283"/>
              <w:jc w:val="left"/>
              <w:rPr/>
            </w:pPr>
            <w:r>
              <w:rPr/>
              <w:t xml:space="preserve">  </w:t>
            </w:r>
          </w:p>
        </w:tc>
        <w:tc>
          <w:tcPr>
            <w:tcW w:w="261" w:type="dxa"/>
            <w:tcBorders/>
            <w:vAlign w:val="center"/>
          </w:tcPr>
          <w:p>
            <w:pPr>
              <w:pStyle w:val="TableContents"/>
              <w:bidi w:val="0"/>
              <w:spacing w:before="0" w:after="283"/>
              <w:jc w:val="left"/>
              <w:rPr>
                <w:sz w:val="20"/>
              </w:rPr>
            </w:pPr>
            <w:r>
              <w:rPr>
                <w:rFonts w:ascii="Times New Roman;Times;Serif" w:hAnsi="Times New Roman;Times;Serif"/>
                <w:sz w:val="20"/>
              </w:rPr>
              <w:t>(3)</w:t>
            </w:r>
            <w:r>
              <w:rPr>
                <w:sz w:val="20"/>
              </w:rPr>
              <w:t xml:space="preserve"> </w:t>
            </w:r>
          </w:p>
        </w:tc>
        <w:tc>
          <w:tcPr>
            <w:tcW w:w="9826" w:type="dxa"/>
            <w:tcBorders/>
            <w:vAlign w:val="center"/>
          </w:tcPr>
          <w:p>
            <w:pPr>
              <w:pStyle w:val="TableContents"/>
              <w:bidi w:val="0"/>
              <w:spacing w:before="0" w:after="283"/>
              <w:jc w:val="both"/>
              <w:rPr>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r>
              <w:rPr>
                <w:sz w:val="20"/>
              </w:rPr>
              <w:t xml:space="preserve"> </w:t>
            </w:r>
          </w:p>
        </w:tc>
      </w:tr>
    </w:tbl>
    <w:p>
      <w:pPr>
        <w:pStyle w:val="TextBody"/>
        <w:bidi w:val="0"/>
        <w:spacing w:before="0" w:after="0"/>
        <w:ind w:left="96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0"/>
        <w:gridCol w:w="194"/>
        <w:gridCol w:w="9931"/>
      </w:tblGrid>
      <w:tr>
        <w:trPr/>
        <w:tc>
          <w:tcPr>
            <w:tcW w:w="80" w:type="dxa"/>
            <w:tcBorders/>
            <w:vAlign w:val="center"/>
          </w:tcPr>
          <w:p>
            <w:pPr>
              <w:pStyle w:val="TableContents"/>
              <w:bidi w:val="0"/>
              <w:spacing w:before="0" w:after="283"/>
              <w:jc w:val="left"/>
              <w:rPr/>
            </w:pPr>
            <w:r>
              <w:rPr/>
              <w:t xml:space="preserve">  </w:t>
            </w:r>
          </w:p>
        </w:tc>
        <w:tc>
          <w:tcPr>
            <w:tcW w:w="194" w:type="dxa"/>
            <w:tcBorders/>
            <w:vAlign w:val="center"/>
          </w:tcPr>
          <w:p>
            <w:pPr>
              <w:pStyle w:val="TableContents"/>
              <w:bidi w:val="0"/>
              <w:spacing w:before="0" w:after="283"/>
              <w:jc w:val="left"/>
              <w:rPr>
                <w:sz w:val="20"/>
              </w:rPr>
            </w:pPr>
            <w:r>
              <w:rPr>
                <w:rFonts w:ascii="Times New Roman;Times;Serif" w:hAnsi="Times New Roman;Times;Serif"/>
                <w:sz w:val="20"/>
              </w:rPr>
              <w:t>(4)</w:t>
            </w:r>
            <w:r>
              <w:rPr>
                <w:sz w:val="20"/>
              </w:rPr>
              <w:t xml:space="preserve"> </w:t>
            </w:r>
          </w:p>
        </w:tc>
        <w:tc>
          <w:tcPr>
            <w:tcW w:w="9931" w:type="dxa"/>
            <w:tcBorders/>
            <w:vAlign w:val="center"/>
          </w:tcPr>
          <w:p>
            <w:pPr>
              <w:pStyle w:val="TableContents"/>
              <w:bidi w:val="0"/>
              <w:spacing w:before="0" w:after="283"/>
              <w:jc w:val="both"/>
              <w:rPr>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Section 10(a)(4) of the Securities Act of 1933 and other information necessary to ensure that all other information in the prospectus is at least as current as the date of those financial statements. Notwithstanding the foregoing, a post-effective amendment needs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r>
              <w:rPr>
                <w:sz w:val="20"/>
              </w:rPr>
              <w:t xml:space="preserve"> </w:t>
            </w:r>
          </w:p>
        </w:tc>
      </w:tr>
    </w:tbl>
    <w:p>
      <w:pPr>
        <w:pStyle w:val="TextBody"/>
        <w:bidi w:val="0"/>
        <w:spacing w:before="0" w:after="0"/>
        <w:ind w:left="960" w:right="0" w:hanging="360"/>
        <w:jc w:val="both"/>
        <w:rPr>
          <w:caps w:val="false"/>
          <w:smallCaps w:val="false"/>
        </w:rPr>
      </w:pPr>
      <w:r>
        <w:rPr>
          <w:caps w:val="false"/>
          <w:smallCaps w:val="false"/>
        </w:rPr>
        <w:t xml:space="preserve">  </w:t>
      </w:r>
    </w:p>
    <w:tbl>
      <w:tblPr>
        <w:tblW w:w="7488" w:type="dxa"/>
        <w:jc w:val="left"/>
        <w:tblInd w:w="0" w:type="dxa"/>
        <w:tblLayout w:type="fixed"/>
        <w:tblCellMar>
          <w:top w:w="0" w:type="dxa"/>
          <w:left w:w="0" w:type="dxa"/>
          <w:bottom w:w="0" w:type="dxa"/>
          <w:right w:w="0" w:type="dxa"/>
        </w:tblCellMar>
      </w:tblPr>
      <w:tblGrid>
        <w:gridCol w:w="38"/>
        <w:gridCol w:w="305"/>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rFonts w:ascii="Times New Roman;Times;Serif" w:hAnsi="Times New Roman;Times;Serif"/>
                <w:sz w:val="20"/>
              </w:rPr>
              <w:t>(5)</w:t>
            </w:r>
            <w:r>
              <w:rPr/>
              <w:t xml:space="preserve"> </w:t>
            </w:r>
          </w:p>
        </w:tc>
        <w:tc>
          <w:tcPr>
            <w:tcW w:w="7145" w:type="dxa"/>
            <w:tcBorders/>
            <w:vAlign w:val="center"/>
          </w:tcPr>
          <w:p>
            <w:pPr>
              <w:pStyle w:val="TableContents"/>
              <w:bidi w:val="0"/>
              <w:spacing w:before="0" w:after="283"/>
              <w:jc w:val="both"/>
              <w:rPr/>
            </w:pPr>
            <w:r>
              <w:rPr>
                <w:rFonts w:ascii="Times New Roman;Times;Serif" w:hAnsi="Times New Roman;Times;Serif"/>
                <w:sz w:val="20"/>
              </w:rPr>
              <w:t>That, for the purpose of determining liability under the Securities Act to any purchaser:</w:t>
            </w:r>
            <w:r>
              <w:rPr/>
              <w:t xml:space="preserve"> </w:t>
            </w:r>
          </w:p>
        </w:tc>
      </w:tr>
    </w:tbl>
    <w:p>
      <w:pPr>
        <w:pStyle w:val="TextBody"/>
        <w:bidi w:val="0"/>
        <w:spacing w:before="0" w:after="0"/>
        <w:ind w:left="96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 xml:space="preserve">(i) </w:t>
            </w:r>
          </w:p>
        </w:tc>
        <w:tc>
          <w:tcPr>
            <w:tcW w:w="9952" w:type="dxa"/>
            <w:tcBorders/>
            <w:vAlign w:val="center"/>
          </w:tcPr>
          <w:p>
            <w:pPr>
              <w:pStyle w:val="TableContents"/>
              <w:bidi w:val="0"/>
              <w:spacing w:before="0" w:after="283"/>
              <w:jc w:val="both"/>
              <w:rPr/>
            </w:pPr>
            <w:r>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960" w:right="0" w:hanging="360"/>
        <w:jc w:val="center"/>
        <w:rPr>
          <w:bdr w:val="single" w:sz="12" w:space="1" w:color="000000"/>
        </w:rPr>
      </w:pPr>
      <w:r>
        <w:rPr>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 xml:space="preserve">(ii) </w:t>
            </w:r>
          </w:p>
        </w:tc>
        <w:tc>
          <w:tcPr>
            <w:tcW w:w="9944"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ind w:left="96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5"/>
        <w:gridCol w:w="203"/>
        <w:gridCol w:w="9917"/>
      </w:tblGrid>
      <w:tr>
        <w:trPr/>
        <w:tc>
          <w:tcPr>
            <w:tcW w:w="85" w:type="dxa"/>
            <w:tcBorders/>
            <w:vAlign w:val="center"/>
          </w:tcPr>
          <w:p>
            <w:pPr>
              <w:pStyle w:val="TableContents"/>
              <w:bidi w:val="0"/>
              <w:spacing w:before="0" w:after="283"/>
              <w:jc w:val="left"/>
              <w:rPr/>
            </w:pPr>
            <w:r>
              <w:rPr/>
              <w:t xml:space="preserve">  </w:t>
            </w:r>
          </w:p>
        </w:tc>
        <w:tc>
          <w:tcPr>
            <w:tcW w:w="203" w:type="dxa"/>
            <w:tcBorders/>
            <w:vAlign w:val="center"/>
          </w:tcPr>
          <w:p>
            <w:pPr>
              <w:pStyle w:val="TableContents"/>
              <w:bidi w:val="0"/>
              <w:spacing w:before="0" w:after="283"/>
              <w:jc w:val="left"/>
              <w:rPr>
                <w:sz w:val="20"/>
              </w:rPr>
            </w:pPr>
            <w:r>
              <w:rPr>
                <w:rFonts w:ascii="Times New Roman;Times;Serif" w:hAnsi="Times New Roman;Times;Serif"/>
                <w:sz w:val="20"/>
              </w:rPr>
              <w:t>(6)</w:t>
            </w:r>
            <w:r>
              <w:rPr>
                <w:sz w:val="20"/>
              </w:rPr>
              <w:t xml:space="preserve"> </w:t>
            </w:r>
          </w:p>
        </w:tc>
        <w:tc>
          <w:tcPr>
            <w:tcW w:w="9917" w:type="dxa"/>
            <w:tcBorders/>
            <w:vAlign w:val="center"/>
          </w:tcPr>
          <w:p>
            <w:pPr>
              <w:pStyle w:val="TableContents"/>
              <w:bidi w:val="0"/>
              <w:spacing w:before="0" w:after="283"/>
              <w:jc w:val="both"/>
              <w:rPr>
                <w:sz w:val="20"/>
              </w:rPr>
            </w:pPr>
            <w:r>
              <w:rPr>
                <w:rFonts w:ascii="Times New Roman;Times;Serif" w:hAnsi="Times New Roman;Times;Serif"/>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r>
              <w:rPr>
                <w:sz w:val="20"/>
              </w:rPr>
              <w:t xml:space="preserve"> </w:t>
            </w:r>
          </w:p>
        </w:tc>
      </w:tr>
    </w:tbl>
    <w:p>
      <w:pPr>
        <w:pStyle w:val="TextBody"/>
        <w:bidi w:val="0"/>
        <w:spacing w:before="0" w:after="0"/>
        <w:ind w:left="144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7"/>
        <w:gridCol w:w="231"/>
        <w:gridCol w:w="9847"/>
      </w:tblGrid>
      <w:tr>
        <w:trPr/>
        <w:tc>
          <w:tcPr>
            <w:tcW w:w="127" w:type="dxa"/>
            <w:tcBorders/>
            <w:vAlign w:val="center"/>
          </w:tcPr>
          <w:p>
            <w:pPr>
              <w:pStyle w:val="TableContents"/>
              <w:bidi w:val="0"/>
              <w:spacing w:before="0" w:after="283"/>
              <w:jc w:val="left"/>
              <w:rPr/>
            </w:pPr>
            <w:r>
              <w:rPr/>
              <w:t xml:space="preserve">  </w:t>
            </w:r>
          </w:p>
        </w:tc>
        <w:tc>
          <w:tcPr>
            <w:tcW w:w="231" w:type="dxa"/>
            <w:tcBorders/>
            <w:vAlign w:val="center"/>
          </w:tcPr>
          <w:p>
            <w:pPr>
              <w:pStyle w:val="TableContents"/>
              <w:bidi w:val="0"/>
              <w:spacing w:before="0" w:after="283"/>
              <w:jc w:val="left"/>
              <w:rPr>
                <w:sz w:val="20"/>
              </w:rPr>
            </w:pPr>
            <w:r>
              <w:rPr>
                <w:rFonts w:ascii="Times New Roman;Times;Serif" w:hAnsi="Times New Roman;Times;Serif"/>
                <w:sz w:val="20"/>
              </w:rPr>
              <w:t>(i)</w:t>
            </w:r>
            <w:r>
              <w:rPr>
                <w:sz w:val="20"/>
              </w:rPr>
              <w:t xml:space="preserve"> </w:t>
            </w:r>
          </w:p>
        </w:tc>
        <w:tc>
          <w:tcPr>
            <w:tcW w:w="9847" w:type="dxa"/>
            <w:tcBorders/>
            <w:vAlign w:val="center"/>
          </w:tcPr>
          <w:p>
            <w:pPr>
              <w:pStyle w:val="TableContents"/>
              <w:bidi w:val="0"/>
              <w:spacing w:before="0" w:after="283"/>
              <w:jc w:val="both"/>
              <w:rPr>
                <w:sz w:val="20"/>
              </w:rPr>
            </w:pPr>
            <w:r>
              <w:rPr>
                <w:rFonts w:ascii="Times New Roman;Times;Serif" w:hAnsi="Times New Roman;Times;Serif"/>
                <w:sz w:val="20"/>
              </w:rPr>
              <w:t>Any preliminary prospectus or prospectus of the undersigned registrant relating to the offering required to be filed pursuant to Rule 424;</w:t>
            </w:r>
            <w:r>
              <w:rPr>
                <w:sz w:val="20"/>
              </w:rPr>
              <w:t xml:space="preserve"> </w:t>
            </w:r>
          </w:p>
        </w:tc>
      </w:tr>
    </w:tbl>
    <w:p>
      <w:pPr>
        <w:pStyle w:val="TextBody"/>
        <w:bidi w:val="0"/>
        <w:spacing w:before="0" w:after="0"/>
        <w:ind w:left="144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9"/>
        <w:gridCol w:w="278"/>
        <w:gridCol w:w="9808"/>
      </w:tblGrid>
      <w:tr>
        <w:trPr/>
        <w:tc>
          <w:tcPr>
            <w:tcW w:w="119" w:type="dxa"/>
            <w:tcBorders/>
            <w:vAlign w:val="center"/>
          </w:tcPr>
          <w:p>
            <w:pPr>
              <w:pStyle w:val="TableContents"/>
              <w:bidi w:val="0"/>
              <w:spacing w:before="0" w:after="283"/>
              <w:jc w:val="left"/>
              <w:rPr/>
            </w:pPr>
            <w:r>
              <w:rPr/>
              <w:t xml:space="preserve">  </w:t>
            </w:r>
          </w:p>
        </w:tc>
        <w:tc>
          <w:tcPr>
            <w:tcW w:w="278" w:type="dxa"/>
            <w:tcBorders/>
            <w:vAlign w:val="center"/>
          </w:tcPr>
          <w:p>
            <w:pPr>
              <w:pStyle w:val="TableContents"/>
              <w:bidi w:val="0"/>
              <w:spacing w:before="0" w:after="283"/>
              <w:jc w:val="left"/>
              <w:rPr>
                <w:sz w:val="20"/>
              </w:rPr>
            </w:pPr>
            <w:r>
              <w:rPr>
                <w:rFonts w:ascii="Times New Roman;Times;Serif" w:hAnsi="Times New Roman;Times;Serif"/>
                <w:sz w:val="20"/>
              </w:rPr>
              <w:t>(ii)</w:t>
            </w:r>
            <w:r>
              <w:rPr>
                <w:sz w:val="20"/>
              </w:rPr>
              <w:t xml:space="preserve"> </w:t>
            </w:r>
          </w:p>
        </w:tc>
        <w:tc>
          <w:tcPr>
            <w:tcW w:w="9808" w:type="dxa"/>
            <w:tcBorders/>
            <w:vAlign w:val="center"/>
          </w:tcPr>
          <w:p>
            <w:pPr>
              <w:pStyle w:val="TableContents"/>
              <w:bidi w:val="0"/>
              <w:spacing w:before="0" w:after="283"/>
              <w:jc w:val="both"/>
              <w:rPr>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r>
              <w:rPr>
                <w:sz w:val="20"/>
              </w:rPr>
              <w:t xml:space="preserve"> </w:t>
            </w:r>
          </w:p>
        </w:tc>
      </w:tr>
    </w:tbl>
    <w:p>
      <w:pPr>
        <w:pStyle w:val="TextBody"/>
        <w:bidi w:val="0"/>
        <w:spacing w:before="0" w:after="0"/>
        <w:ind w:left="1440" w:right="0" w:hanging="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7"/>
        <w:gridCol w:w="316"/>
        <w:gridCol w:w="9782"/>
      </w:tblGrid>
      <w:tr>
        <w:trPr/>
        <w:tc>
          <w:tcPr>
            <w:tcW w:w="107" w:type="dxa"/>
            <w:tcBorders/>
            <w:vAlign w:val="center"/>
          </w:tcPr>
          <w:p>
            <w:pPr>
              <w:pStyle w:val="TableContents"/>
              <w:bidi w:val="0"/>
              <w:spacing w:before="0" w:after="283"/>
              <w:jc w:val="left"/>
              <w:rPr/>
            </w:pPr>
            <w:r>
              <w:rPr/>
              <w:t xml:space="preserve">  </w:t>
            </w:r>
          </w:p>
        </w:tc>
        <w:tc>
          <w:tcPr>
            <w:tcW w:w="316" w:type="dxa"/>
            <w:tcBorders/>
            <w:vAlign w:val="center"/>
          </w:tcPr>
          <w:p>
            <w:pPr>
              <w:pStyle w:val="TableContents"/>
              <w:bidi w:val="0"/>
              <w:spacing w:before="0" w:after="283"/>
              <w:jc w:val="left"/>
              <w:rPr>
                <w:sz w:val="20"/>
              </w:rPr>
            </w:pPr>
            <w:r>
              <w:rPr>
                <w:rFonts w:ascii="Times New Roman;Times;Serif" w:hAnsi="Times New Roman;Times;Serif"/>
                <w:sz w:val="20"/>
              </w:rPr>
              <w:t>(iii)</w:t>
            </w:r>
            <w:r>
              <w:rPr>
                <w:sz w:val="20"/>
              </w:rPr>
              <w:t xml:space="preserve"> </w:t>
            </w:r>
          </w:p>
        </w:tc>
        <w:tc>
          <w:tcPr>
            <w:tcW w:w="9782" w:type="dxa"/>
            <w:tcBorders/>
            <w:vAlign w:val="center"/>
          </w:tcPr>
          <w:p>
            <w:pPr>
              <w:pStyle w:val="TableContents"/>
              <w:bidi w:val="0"/>
              <w:spacing w:before="0" w:after="283"/>
              <w:jc w:val="both"/>
              <w:rPr>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r>
              <w:rPr>
                <w:sz w:val="20"/>
              </w:rPr>
              <w:t xml:space="preserve"> </w:t>
            </w:r>
          </w:p>
        </w:tc>
      </w:tr>
    </w:tbl>
    <w:p>
      <w:pPr>
        <w:pStyle w:val="TextBody"/>
        <w:bidi w:val="0"/>
        <w:spacing w:before="0" w:after="0"/>
        <w:ind w:left="1440" w:right="0" w:hanging="360"/>
        <w:jc w:val="both"/>
        <w:rPr>
          <w:caps w:val="false"/>
          <w:smallCaps w:val="false"/>
        </w:rPr>
      </w:pPr>
      <w:r>
        <w:rPr>
          <w:caps w:val="false"/>
          <w:smallCaps w:val="false"/>
        </w:rPr>
        <w:t xml:space="preserve">  </w:t>
      </w:r>
    </w:p>
    <w:tbl>
      <w:tblPr>
        <w:tblW w:w="9370" w:type="dxa"/>
        <w:jc w:val="left"/>
        <w:tblInd w:w="0" w:type="dxa"/>
        <w:tblLayout w:type="fixed"/>
        <w:tblCellMar>
          <w:top w:w="0" w:type="dxa"/>
          <w:left w:w="0" w:type="dxa"/>
          <w:bottom w:w="0" w:type="dxa"/>
          <w:right w:w="0" w:type="dxa"/>
        </w:tblCellMar>
      </w:tblPr>
      <w:tblGrid>
        <w:gridCol w:w="135"/>
        <w:gridCol w:w="350"/>
        <w:gridCol w:w="8885"/>
      </w:tblGrid>
      <w:tr>
        <w:trPr/>
        <w:tc>
          <w:tcPr>
            <w:tcW w:w="135" w:type="dxa"/>
            <w:tcBorders/>
            <w:vAlign w:val="center"/>
          </w:tcPr>
          <w:p>
            <w:pPr>
              <w:pStyle w:val="TableContents"/>
              <w:bidi w:val="0"/>
              <w:spacing w:before="0" w:after="283"/>
              <w:jc w:val="left"/>
              <w:rPr/>
            </w:pPr>
            <w:r>
              <w:rPr/>
              <w:t xml:space="preserve">  </w:t>
            </w:r>
          </w:p>
        </w:tc>
        <w:tc>
          <w:tcPr>
            <w:tcW w:w="350" w:type="dxa"/>
            <w:tcBorders/>
            <w:vAlign w:val="center"/>
          </w:tcPr>
          <w:p>
            <w:pPr>
              <w:pStyle w:val="TableContents"/>
              <w:bidi w:val="0"/>
              <w:spacing w:before="0" w:after="283"/>
              <w:jc w:val="left"/>
              <w:rPr>
                <w:sz w:val="20"/>
              </w:rPr>
            </w:pPr>
            <w:r>
              <w:rPr>
                <w:rFonts w:ascii="Times New Roman;Times;Serif" w:hAnsi="Times New Roman;Times;Serif"/>
                <w:sz w:val="20"/>
              </w:rPr>
              <w:t>(iv)</w:t>
            </w:r>
            <w:r>
              <w:rPr>
                <w:sz w:val="20"/>
              </w:rPr>
              <w:t xml:space="preserve"> </w:t>
            </w:r>
          </w:p>
        </w:tc>
        <w:tc>
          <w:tcPr>
            <w:tcW w:w="8885" w:type="dxa"/>
            <w:tcBorders/>
            <w:vAlign w:val="center"/>
          </w:tcPr>
          <w:p>
            <w:pPr>
              <w:pStyle w:val="TableContents"/>
              <w:bidi w:val="0"/>
              <w:spacing w:before="0" w:after="283"/>
              <w:jc w:val="both"/>
              <w:rPr>
                <w:sz w:val="20"/>
              </w:rPr>
            </w:pPr>
            <w:r>
              <w:rPr>
                <w:rFonts w:ascii="Times New Roman;Times;Serif" w:hAnsi="Times New Roman;Times;Serif"/>
                <w:sz w:val="20"/>
              </w:rPr>
              <w:t>Any other communication that is an offer in the offering made by the undersigned registrant to the purchaser.</w:t>
            </w:r>
            <w:r>
              <w:rPr>
                <w:sz w:val="20"/>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xml:space="preserve">(b) </w:t>
            </w:r>
          </w:p>
        </w:tc>
        <w:tc>
          <w:tcPr>
            <w:tcW w:w="9927"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ind w:left="36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xml:space="preserve">(c) </w:t>
            </w:r>
          </w:p>
        </w:tc>
        <w:tc>
          <w:tcPr>
            <w:tcW w:w="9956" w:type="dxa"/>
            <w:tcBorders/>
            <w:vAlign w:val="center"/>
          </w:tcPr>
          <w:p>
            <w:pPr>
              <w:pStyle w:val="TableContents"/>
              <w:bidi w:val="0"/>
              <w:spacing w:before="0" w:after="283"/>
              <w:jc w:val="both"/>
              <w:rPr/>
            </w:pPr>
            <w:r>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ind w:left="960" w:right="0" w:hanging="9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0" w:name="k_029"/>
      <w:bookmarkEnd w:id="20"/>
      <w:r>
        <w:rPr>
          <w:rFonts w:ascii="Times New Roman;Times;Serif" w:hAnsi="Times New Roman;Times;Serif"/>
          <w:b/>
          <w:i w:val="false"/>
          <w:caps w:val="false"/>
          <w:smallCaps w:val="false"/>
          <w:sz w:val="20"/>
        </w:rPr>
        <w:t>SIGNATURES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has duly caused this Post-Effective Amendment No. 1 to the registration statement to be signed on its behalf by the undersigned, thereunto duly authorized, in Singapore, May 13, 2026. </w:t>
      </w:r>
    </w:p>
    <w:p>
      <w:pPr>
        <w:pStyle w:val="TextBody"/>
        <w:bidi w:val="0"/>
        <w:spacing w:before="0" w:after="0"/>
        <w:ind w:left="0" w:right="0" w:firstLine="36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35"/>
        <w:gridCol w:w="605"/>
        <w:gridCol w:w="2015"/>
      </w:tblGrid>
      <w:tr>
        <w:trPr/>
        <w:tc>
          <w:tcPr>
            <w:tcW w:w="135" w:type="dxa"/>
            <w:tcBorders/>
            <w:vAlign w:val="center"/>
          </w:tcPr>
          <w:p>
            <w:pPr>
              <w:pStyle w:val="TableContents"/>
              <w:bidi w:val="0"/>
              <w:spacing w:before="0" w:after="283"/>
              <w:jc w:val="left"/>
              <w:rPr/>
            </w:pPr>
            <w:r>
              <w:rPr/>
              <w:t xml:space="preserve">  </w:t>
            </w:r>
          </w:p>
        </w:tc>
        <w:tc>
          <w:tcPr>
            <w:tcW w:w="2620" w:type="dxa"/>
            <w:gridSpan w:val="2"/>
            <w:tcBorders/>
            <w:vAlign w:val="center"/>
          </w:tcPr>
          <w:p>
            <w:pPr>
              <w:pStyle w:val="TableContents"/>
              <w:bidi w:val="0"/>
              <w:spacing w:before="0" w:after="283"/>
              <w:jc w:val="left"/>
              <w:rPr/>
            </w:pPr>
            <w:r>
              <w:rPr>
                <w:rFonts w:ascii="Times New Roman;Times;Serif" w:hAnsi="Times New Roman;Times;Serif"/>
                <w:b/>
                <w:sz w:val="20"/>
              </w:rPr>
              <w:t>GCL Global Holdings Ltd</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605" w:type="dxa"/>
            <w:tcBorders/>
            <w:vAlign w:val="center"/>
          </w:tcPr>
          <w:p>
            <w:pPr>
              <w:pStyle w:val="TableContents"/>
              <w:bidi w:val="0"/>
              <w:spacing w:before="0" w:after="283"/>
              <w:jc w:val="left"/>
              <w:rPr/>
            </w:pPr>
            <w:r>
              <w:rPr/>
              <w:t xml:space="preserve">  </w:t>
            </w:r>
          </w:p>
        </w:tc>
        <w:tc>
          <w:tcPr>
            <w:tcW w:w="201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605"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Sebastian Toke</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605" w:type="dxa"/>
            <w:tcBorders/>
            <w:vAlign w:val="center"/>
          </w:tcPr>
          <w:p>
            <w:pPr>
              <w:pStyle w:val="TableContents"/>
              <w:bidi w:val="0"/>
              <w:spacing w:before="0" w:after="283"/>
              <w:jc w:val="left"/>
              <w:rPr/>
            </w:pPr>
            <w:r>
              <w:rPr>
                <w:rFonts w:ascii="Times New Roman;Times;Serif" w:hAnsi="Times New Roman;Times;Serif"/>
                <w:sz w:val="20"/>
              </w:rPr>
              <w:t>Name:</w:t>
            </w:r>
            <w:r>
              <w:rPr/>
              <w:t xml:space="preserve"> </w:t>
            </w:r>
          </w:p>
        </w:tc>
        <w:tc>
          <w:tcPr>
            <w:tcW w:w="2015" w:type="dxa"/>
            <w:tcBorders/>
            <w:vAlign w:val="center"/>
          </w:tcPr>
          <w:p>
            <w:pPr>
              <w:pStyle w:val="TableContents"/>
              <w:bidi w:val="0"/>
              <w:spacing w:before="0" w:after="283"/>
              <w:jc w:val="left"/>
              <w:rPr/>
            </w:pPr>
            <w:r>
              <w:rPr>
                <w:rFonts w:ascii="Times New Roman;Times;Serif" w:hAnsi="Times New Roman;Times;Serif"/>
                <w:sz w:val="20"/>
              </w:rPr>
              <w:t>Sebastian Toke</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605" w:type="dxa"/>
            <w:tcBorders/>
            <w:vAlign w:val="center"/>
          </w:tcPr>
          <w:p>
            <w:pPr>
              <w:pStyle w:val="TableContents"/>
              <w:bidi w:val="0"/>
              <w:spacing w:before="0" w:after="283"/>
              <w:jc w:val="left"/>
              <w:rPr/>
            </w:pPr>
            <w:r>
              <w:rPr>
                <w:rFonts w:ascii="Times New Roman;Times;Serif" w:hAnsi="Times New Roman;Times;Serif"/>
                <w:sz w:val="20"/>
              </w:rPr>
              <w:t>Title:</w:t>
            </w:r>
            <w:r>
              <w:rPr/>
              <w:t xml:space="preserve"> </w:t>
            </w:r>
          </w:p>
        </w:tc>
        <w:tc>
          <w:tcPr>
            <w:tcW w:w="2015" w:type="dxa"/>
            <w:tcBorders/>
            <w:vAlign w:val="center"/>
          </w:tcPr>
          <w:p>
            <w:pPr>
              <w:pStyle w:val="TableContents"/>
              <w:bidi w:val="0"/>
              <w:spacing w:before="0" w:after="283"/>
              <w:jc w:val="left"/>
              <w:rPr/>
            </w:pPr>
            <w:r>
              <w:rPr>
                <w:rFonts w:ascii="Times New Roman;Times;Serif" w:hAnsi="Times New Roman;Times;Serif"/>
                <w:sz w:val="20"/>
              </w:rPr>
              <w:t>Chief Executive Officer</w:t>
            </w:r>
            <w:r>
              <w:rPr/>
              <w:t xml:space="preserv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this registration statement has been signed below by the following persons on behalf of the registrant and in the capacities and on the dates indicated. </w:t>
      </w:r>
    </w:p>
    <w:p>
      <w:pPr>
        <w:pStyle w:val="TextBody"/>
        <w:bidi w:val="0"/>
        <w:spacing w:before="0" w:after="0"/>
        <w:ind w:left="0" w:right="0" w:firstLine="360"/>
        <w:jc w:val="both"/>
        <w:rPr>
          <w:caps w:val="false"/>
          <w:smallCaps w:val="false"/>
        </w:rPr>
      </w:pPr>
      <w:r>
        <w:rPr>
          <w:caps w:val="false"/>
          <w:smallCaps w:val="false"/>
        </w:rPr>
        <w:t> </w:t>
      </w:r>
    </w:p>
    <w:tbl>
      <w:tblPr>
        <w:tblW w:w="6750" w:type="dxa"/>
        <w:jc w:val="left"/>
        <w:tblInd w:w="0" w:type="dxa"/>
        <w:tblLayout w:type="fixed"/>
        <w:tblCellMar>
          <w:top w:w="0" w:type="dxa"/>
          <w:left w:w="0" w:type="dxa"/>
          <w:bottom w:w="28" w:type="dxa"/>
          <w:right w:w="0" w:type="dxa"/>
        </w:tblCellMar>
      </w:tblPr>
      <w:tblGrid>
        <w:gridCol w:w="1580"/>
        <w:gridCol w:w="120"/>
        <w:gridCol w:w="3695"/>
        <w:gridCol w:w="120"/>
        <w:gridCol w:w="1235"/>
      </w:tblGrid>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Signature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Date</w:t>
            </w:r>
            <w:r>
              <w:rPr/>
              <w:t xml:space="preserve"> </w:t>
            </w:r>
          </w:p>
        </w:tc>
      </w:tr>
      <w:tr>
        <w:trPr/>
        <w:tc>
          <w:tcPr>
            <w:tcW w:w="158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Sebastian Toke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Chief Executive Officer and 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May 13, 2026 </w:t>
            </w:r>
          </w:p>
        </w:tc>
      </w:tr>
      <w:tr>
        <w:trPr/>
        <w:tc>
          <w:tcPr>
            <w:tcW w:w="1580" w:type="dxa"/>
            <w:tcBorders/>
            <w:tcMar>
              <w:bottom w:w="0" w:type="dxa"/>
            </w:tcMar>
            <w:vAlign w:val="center"/>
          </w:tcPr>
          <w:p>
            <w:pPr>
              <w:pStyle w:val="TableContents"/>
              <w:bidi w:val="0"/>
              <w:spacing w:before="0" w:after="283"/>
              <w:jc w:val="left"/>
              <w:rPr/>
            </w:pPr>
            <w:r>
              <w:rPr>
                <w:rFonts w:ascii="Times New Roman;Times;Serif" w:hAnsi="Times New Roman;Times;Serif"/>
                <w:sz w:val="20"/>
              </w:rPr>
              <w:t>Sebastian Toke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(Principal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Kenny Lin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Chief Financial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May 13, 2026</w:t>
            </w:r>
            <w:r>
              <w:rPr/>
              <w:t xml:space="preserve"> </w:t>
            </w:r>
          </w:p>
        </w:tc>
      </w:tr>
      <w:tr>
        <w:trPr/>
        <w:tc>
          <w:tcPr>
            <w:tcW w:w="1580" w:type="dxa"/>
            <w:tcBorders/>
            <w:tcMar>
              <w:bottom w:w="0" w:type="dxa"/>
            </w:tcMar>
            <w:vAlign w:val="center"/>
          </w:tcPr>
          <w:p>
            <w:pPr>
              <w:pStyle w:val="TableContents"/>
              <w:bidi w:val="0"/>
              <w:spacing w:before="0" w:after="283"/>
              <w:jc w:val="left"/>
              <w:rPr/>
            </w:pPr>
            <w:r>
              <w:rPr>
                <w:rFonts w:ascii="Times New Roman;Times;Serif" w:hAnsi="Times New Roman;Times;Serif"/>
                <w:sz w:val="20"/>
              </w:rPr>
              <w:t>Kenny Lin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(Principal Accounting and Financial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Group Chairman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May 13, 2026</w:t>
            </w:r>
            <w:r>
              <w:rPr/>
              <w:t xml:space="preserve"> </w:t>
            </w:r>
          </w:p>
        </w:tc>
      </w:tr>
      <w:tr>
        <w:trPr/>
        <w:tc>
          <w:tcPr>
            <w:tcW w:w="1580" w:type="dxa"/>
            <w:tcBorders/>
            <w:tcMar>
              <w:bottom w:w="0" w:type="dxa"/>
            </w:tcMar>
            <w:vAlign w:val="center"/>
          </w:tcPr>
          <w:p>
            <w:pPr>
              <w:pStyle w:val="TableContents"/>
              <w:bidi w:val="0"/>
              <w:spacing w:before="0" w:after="283"/>
              <w:jc w:val="left"/>
              <w:rPr/>
            </w:pPr>
            <w:r>
              <w:rPr>
                <w:rFonts w:ascii="Times New Roman;Times;Serif" w:hAnsi="Times New Roman;Times;Serif"/>
                <w:sz w:val="20"/>
              </w:rPr>
              <w:t>Choo See Wee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May 13, 2026</w:t>
            </w:r>
            <w:r>
              <w:rPr/>
              <w:t xml:space="preserve"> </w:t>
            </w:r>
          </w:p>
        </w:tc>
      </w:tr>
      <w:tr>
        <w:trPr/>
        <w:tc>
          <w:tcPr>
            <w:tcW w:w="1580" w:type="dxa"/>
            <w:tcBorders/>
            <w:tcMar>
              <w:bottom w:w="0" w:type="dxa"/>
            </w:tcMar>
            <w:vAlign w:val="center"/>
          </w:tcPr>
          <w:p>
            <w:pPr>
              <w:pStyle w:val="TableContents"/>
              <w:bidi w:val="0"/>
              <w:spacing w:before="0" w:after="283"/>
              <w:jc w:val="left"/>
              <w:rPr/>
            </w:pPr>
            <w:r>
              <w:rPr>
                <w:rFonts w:ascii="Times New Roman;Times;Serif" w:hAnsi="Times New Roman;Times;Serif"/>
                <w:sz w:val="20"/>
              </w:rPr>
              <w:t>Choo See Ling</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Independent 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May 13, 2026</w:t>
            </w:r>
            <w:r>
              <w:rPr/>
              <w:t xml:space="preserve"> </w:t>
            </w:r>
          </w:p>
        </w:tc>
      </w:tr>
      <w:tr>
        <w:trPr/>
        <w:tc>
          <w:tcPr>
            <w:tcW w:w="1580" w:type="dxa"/>
            <w:tcBorders/>
            <w:tcMar>
              <w:bottom w:w="0" w:type="dxa"/>
            </w:tcMar>
            <w:vAlign w:val="center"/>
          </w:tcPr>
          <w:p>
            <w:pPr>
              <w:pStyle w:val="TableContents"/>
              <w:bidi w:val="0"/>
              <w:spacing w:before="0" w:after="283"/>
              <w:jc w:val="left"/>
              <w:rPr/>
            </w:pPr>
            <w:r>
              <w:rPr>
                <w:rFonts w:ascii="Times New Roman;Times;Serif" w:hAnsi="Times New Roman;Times;Serif"/>
                <w:sz w:val="20"/>
              </w:rPr>
              <w:t>Tse Meng Ng</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Independent 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May 13, 2026</w:t>
            </w:r>
            <w:r>
              <w:rPr/>
              <w:t xml:space="preserve"> </w:t>
            </w:r>
          </w:p>
        </w:tc>
      </w:tr>
      <w:tr>
        <w:trPr/>
        <w:tc>
          <w:tcPr>
            <w:tcW w:w="1580" w:type="dxa"/>
            <w:tcBorders/>
            <w:tcMar>
              <w:bottom w:w="0" w:type="dxa"/>
            </w:tcMar>
            <w:vAlign w:val="center"/>
          </w:tcPr>
          <w:p>
            <w:pPr>
              <w:pStyle w:val="TableContents"/>
              <w:bidi w:val="0"/>
              <w:spacing w:before="0" w:after="283"/>
              <w:jc w:val="left"/>
              <w:rPr/>
            </w:pPr>
            <w:r>
              <w:rPr>
                <w:rFonts w:ascii="Times New Roman;Times;Serif" w:hAnsi="Times New Roman;Times;Serif"/>
                <w:sz w:val="20"/>
              </w:rPr>
              <w:t>Joshua Kewei Cui</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r>
        <w:trPr/>
        <w:tc>
          <w:tcPr>
            <w:tcW w:w="158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rFonts w:ascii="Times New Roman;Times;Serif" w:hAnsi="Times New Roman;Times;Serif"/>
                <w:sz w:val="20"/>
              </w:rPr>
              <w:t>Independent 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May 13, 2026</w:t>
            </w:r>
            <w:r>
              <w:rPr/>
              <w:t xml:space="preserve"> </w:t>
            </w:r>
          </w:p>
        </w:tc>
      </w:tr>
      <w:tr>
        <w:trPr/>
        <w:tc>
          <w:tcPr>
            <w:tcW w:w="1580" w:type="dxa"/>
            <w:tcBorders/>
            <w:tcMar>
              <w:bottom w:w="0" w:type="dxa"/>
            </w:tcMar>
            <w:vAlign w:val="center"/>
          </w:tcPr>
          <w:p>
            <w:pPr>
              <w:pStyle w:val="TableContents"/>
              <w:bidi w:val="0"/>
              <w:spacing w:before="0" w:after="283"/>
              <w:jc w:val="left"/>
              <w:rPr/>
            </w:pPr>
            <w:r>
              <w:rPr>
                <w:rFonts w:ascii="Times New Roman;Times;Serif" w:hAnsi="Times New Roman;Times;Serif"/>
                <w:sz w:val="20"/>
              </w:rPr>
              <w:t>Wilson W. Wang</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69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35"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485"/>
        <w:gridCol w:w="1565"/>
        <w:gridCol w:w="135"/>
      </w:tblGrid>
      <w:tr>
        <w:trPr/>
        <w:tc>
          <w:tcPr>
            <w:tcW w:w="48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1565" w:type="dxa"/>
            <w:tcBorders>
              <w:bottom w:val="single" w:sz="12"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Sebastian Toke</w:t>
            </w:r>
            <w:r>
              <w:rPr/>
              <w:t xml:space="preserve"> </w:t>
            </w:r>
          </w:p>
        </w:tc>
        <w:tc>
          <w:tcPr>
            <w:tcW w:w="135" w:type="dxa"/>
            <w:tcBorders/>
            <w:vAlign w:val="center"/>
          </w:tcPr>
          <w:p>
            <w:pPr>
              <w:pStyle w:val="TableContents"/>
              <w:bidi w:val="0"/>
              <w:spacing w:before="0" w:after="283"/>
              <w:ind w:left="0" w:right="0" w:hanging="0"/>
              <w:jc w:val="left"/>
              <w:rPr/>
            </w:pPr>
            <w:r>
              <w:rPr/>
              <w:t xml:space="preserve">  </w:t>
            </w:r>
          </w:p>
        </w:tc>
      </w:tr>
      <w:tr>
        <w:trPr/>
        <w:tc>
          <w:tcPr>
            <w:tcW w:w="485" w:type="dxa"/>
            <w:tcBorders/>
            <w:vAlign w:val="center"/>
          </w:tcPr>
          <w:p>
            <w:pPr>
              <w:pStyle w:val="TableContents"/>
              <w:bidi w:val="0"/>
              <w:spacing w:before="0" w:after="283"/>
              <w:ind w:left="0" w:right="0" w:hanging="0"/>
              <w:jc w:val="left"/>
              <w:rPr/>
            </w:pPr>
            <w:r>
              <w:rPr/>
              <w:t xml:space="preserve">  </w:t>
            </w:r>
          </w:p>
        </w:tc>
        <w:tc>
          <w:tcPr>
            <w:tcW w:w="156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Sebastian Toke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 of the Securities Act of 1933, the undersigned, solely in his capacity as the duly authorized representative of GCL Global Holdings Ltd, has signed this post-effective amendment no. 1 to the registration statement in the City of New York, New York, on May 13, 2026. </w:t>
      </w:r>
    </w:p>
    <w:p>
      <w:pPr>
        <w:pStyle w:val="TextBody"/>
        <w:bidi w:val="0"/>
        <w:spacing w:before="0" w:after="0"/>
        <w:ind w:left="0" w:right="0" w:firstLine="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35"/>
        <w:gridCol w:w="590"/>
        <w:gridCol w:w="4595"/>
      </w:tblGrid>
      <w:tr>
        <w:trPr/>
        <w:tc>
          <w:tcPr>
            <w:tcW w:w="135" w:type="dxa"/>
            <w:tcBorders/>
            <w:vAlign w:val="center"/>
          </w:tcPr>
          <w:p>
            <w:pPr>
              <w:pStyle w:val="TableContents"/>
              <w:bidi w:val="0"/>
              <w:spacing w:before="0" w:after="283"/>
              <w:jc w:val="left"/>
              <w:rPr/>
            </w:pPr>
            <w:r>
              <w:rPr/>
              <w:t xml:space="preserve">  </w:t>
            </w:r>
          </w:p>
        </w:tc>
        <w:tc>
          <w:tcPr>
            <w:tcW w:w="5185" w:type="dxa"/>
            <w:gridSpan w:val="2"/>
            <w:tcBorders/>
            <w:vAlign w:val="center"/>
          </w:tcPr>
          <w:p>
            <w:pPr>
              <w:pStyle w:val="TableContents"/>
              <w:bidi w:val="0"/>
              <w:spacing w:before="0" w:after="283"/>
              <w:jc w:val="left"/>
              <w:rPr/>
            </w:pPr>
            <w:r>
              <w:rPr>
                <w:rFonts w:ascii="Times New Roman;Times;Serif" w:hAnsi="Times New Roman;Times;Serif"/>
                <w:b/>
                <w:sz w:val="20"/>
              </w:rPr>
              <w:t>COGENCY GLOBAL INC.</w:t>
            </w:r>
            <w:r>
              <w:rPr>
                <w:rFonts w:ascii="Times New Roman;Times;Serif" w:hAnsi="Times New Roman;Times;Serif"/>
                <w:sz w:val="20"/>
              </w:rPr>
              <w:t xml:space="preserve"> </w:t>
              <w:br/>
              <w:t>Authorized U.S. Representative</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590" w:type="dxa"/>
            <w:tcBorders/>
            <w:vAlign w:val="center"/>
          </w:tcPr>
          <w:p>
            <w:pPr>
              <w:pStyle w:val="TableContents"/>
              <w:bidi w:val="0"/>
              <w:spacing w:before="0" w:after="283"/>
              <w:jc w:val="both"/>
              <w:rPr/>
            </w:pPr>
            <w:r>
              <w:rPr/>
              <w:t xml:space="preserve">  </w:t>
            </w:r>
          </w:p>
        </w:tc>
        <w:tc>
          <w:tcPr>
            <w:tcW w:w="459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590" w:type="dxa"/>
            <w:tcBorders/>
            <w:vAlign w:val="center"/>
          </w:tcPr>
          <w:p>
            <w:pPr>
              <w:pStyle w:val="TableContents"/>
              <w:bidi w:val="0"/>
              <w:spacing w:before="0" w:after="283"/>
              <w:jc w:val="both"/>
              <w:rPr/>
            </w:pPr>
            <w:r>
              <w:rPr>
                <w:rFonts w:ascii="Times New Roman;Times;Serif" w:hAnsi="Times New Roman;Times;Serif"/>
                <w:sz w:val="20"/>
              </w:rPr>
              <w:t>By:</w:t>
            </w:r>
            <w:r>
              <w:rPr/>
              <w:t xml:space="preserve"> </w:t>
            </w:r>
          </w:p>
        </w:tc>
        <w:tc>
          <w:tcPr>
            <w:tcW w:w="4595" w:type="dxa"/>
            <w:tcBorders>
              <w:bottom w:val="single" w:sz="12"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Colleen A. De Vries</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595" w:type="dxa"/>
            <w:tcBorders/>
            <w:vAlign w:val="center"/>
          </w:tcPr>
          <w:p>
            <w:pPr>
              <w:pStyle w:val="TableContents"/>
              <w:bidi w:val="0"/>
              <w:spacing w:before="0" w:after="283"/>
              <w:jc w:val="both"/>
              <w:rPr/>
            </w:pPr>
            <w:r>
              <w:rPr>
                <w:rFonts w:ascii="Times New Roman;Times;Serif" w:hAnsi="Times New Roman;Times;Serif"/>
                <w:sz w:val="20"/>
              </w:rPr>
              <w:t>Colleen A. De Vries</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590" w:type="dxa"/>
            <w:tcBorders/>
            <w:vAlign w:val="center"/>
          </w:tcPr>
          <w:p>
            <w:pPr>
              <w:pStyle w:val="TableContents"/>
              <w:bidi w:val="0"/>
              <w:spacing w:before="0" w:after="283"/>
              <w:jc w:val="both"/>
              <w:rPr/>
            </w:pPr>
            <w:r>
              <w:rPr>
                <w:rFonts w:ascii="Times New Roman;Times;Serif" w:hAnsi="Times New Roman;Times;Serif"/>
                <w:sz w:val="20"/>
              </w:rPr>
              <w:t>Title:</w:t>
            </w:r>
            <w:r>
              <w:rPr/>
              <w:t xml:space="preserve"> </w:t>
            </w:r>
          </w:p>
        </w:tc>
        <w:tc>
          <w:tcPr>
            <w:tcW w:w="4595" w:type="dxa"/>
            <w:tcBorders/>
            <w:vAlign w:val="center"/>
          </w:tcPr>
          <w:p>
            <w:pPr>
              <w:pStyle w:val="TableContents"/>
              <w:bidi w:val="0"/>
              <w:spacing w:before="0" w:after="283"/>
              <w:jc w:val="left"/>
              <w:rPr/>
            </w:pPr>
            <w:r>
              <w:rPr>
                <w:rFonts w:ascii="Times New Roman;Times;Serif" w:hAnsi="Times New Roman;Times;Serif"/>
                <w:sz w:val="20"/>
              </w:rPr>
              <w:t>Senior Vice-President on behalf of Cogency Global Inc.</w:t>
            </w:r>
            <w:r>
              <w:rPr/>
              <w:t xml:space="preserv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1" w:name="ea028939201ex23-1.htm"/>
      <w:bookmarkStart w:id="22" w:name="ksea028939201ex231"/>
      <w:bookmarkEnd w:id="21"/>
      <w:bookmarkEnd w:id="22"/>
      <w:r>
        <w:rPr>
          <w:b/>
        </w:rPr>
        <w:t>Exhibit 23.1</w:t>
      </w:r>
      <w:r>
        <w:br w:type="page"/>
      </w:r>
    </w:p>
    <w:p>
      <w:pPr>
        <w:pStyle w:val="TextBody"/>
        <w:bidi w:val="0"/>
        <w:jc w:val="right"/>
        <w:rPr/>
      </w:pPr>
      <w:r>
        <w:rPr/>
        <w:t> </w:t>
      </w:r>
    </w:p>
    <w:p>
      <w:pPr>
        <w:pStyle w:val="TextBody"/>
        <w:bidi w:val="0"/>
        <w:jc w:val="center"/>
        <w:rPr/>
      </w:pPr>
      <w:r>
        <w:rPr/>
        <w:drawing>
          <wp:inline distT="0" distB="0" distL="0" distR="0">
            <wp:extent cx="218122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3"/>
                    <a:stretch>
                      <a:fillRect/>
                    </a:stretch>
                  </pic:blipFill>
                  <pic:spPr bwMode="auto">
                    <a:xfrm>
                      <a:off x="0" y="0"/>
                      <a:ext cx="2181225" cy="342900"/>
                    </a:xfrm>
                    <a:prstGeom prst="rect">
                      <a:avLst/>
                    </a:prstGeom>
                  </pic:spPr>
                </pic:pic>
              </a:graphicData>
            </a:graphic>
          </wp:inline>
        </w:drawing>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Post-Effective Form F-1 on Form F-3 of our report dated July 31, 2025 relating to the consolidated financial statements appearing in the Annual Report on Amendment No. 1 to Form 20-F of GCL Global Holdings Limited for the year ended March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OFFICE ● 7 Penn Plaza ● Suite 830 ● New York, New York ● 10001 </w:t>
        <w:br/>
        <w:t>Phone 646.442.4845 ● Fax 646.349.5200 ● www.marcumasia.com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2002045/000121390025069672/ea0246480-20f_gclglobal.htm" TargetMode="External"/><Relationship Id="rId4" Type="http://schemas.openxmlformats.org/officeDocument/2006/relationships/hyperlink" Target="http://www.sec.gov/ix?doc=/Archives/edgar/data/2002045/000121390026041993/ea0277205-20fa1_gclglob.htm" TargetMode="External"/><Relationship Id="rId5" Type="http://schemas.openxmlformats.org/officeDocument/2006/relationships/hyperlink" Target="http://www.sec.gov/ix?doc=/Archives/edgar/data/2002045/000121390026051630/ea0288654-20fa2_gclglob.htm" TargetMode="External"/><Relationship Id="rId6" Type="http://schemas.openxmlformats.org/officeDocument/2006/relationships/hyperlink" Target="http://www.sec.gov/Archives/edgar/data/2002045/000121390025080124/ea0254434-6k_gclglobal.htm" TargetMode="External"/><Relationship Id="rId7" Type="http://schemas.openxmlformats.org/officeDocument/2006/relationships/hyperlink" Target="http://www.sec.gov/ix?doc=/Archives/edgar/data/2002045/000121390025081124/ea0254747-6k_gclglobal.htm" TargetMode="External"/><Relationship Id="rId8" Type="http://schemas.openxmlformats.org/officeDocument/2006/relationships/hyperlink" Target="http://www.sec.gov/Archives/edgar/data/2002045/000121390025082042/ea0255000-6k_gclglobal.htm" TargetMode="External"/><Relationship Id="rId9" Type="http://schemas.openxmlformats.org/officeDocument/2006/relationships/hyperlink" Target="http://www.sec.gov/Archives/edgar/data/2002045/000121390025085159/ea0256240-6k_gclglobal.htm" TargetMode="External"/><Relationship Id="rId10" Type="http://schemas.openxmlformats.org/officeDocument/2006/relationships/hyperlink" Target="http://www.sec.gov/Archives/edgar/data/2002045/000121390025086276/ea0256568-6k_gclglobal.htm" TargetMode="External"/><Relationship Id="rId11" Type="http://schemas.openxmlformats.org/officeDocument/2006/relationships/hyperlink" Target="http://www.sec.gov/Archives/edgar/data/2002045/000121390025086685/ea0256965-6k_gclglobal.htm" TargetMode="External"/><Relationship Id="rId12" Type="http://schemas.openxmlformats.org/officeDocument/2006/relationships/hyperlink" Target="http://www.sec.gov/Archives/edgar/data/2002045/000121390025087392/ea0257293-6k_gclglobal.htm" TargetMode="External"/><Relationship Id="rId13" Type="http://schemas.openxmlformats.org/officeDocument/2006/relationships/hyperlink" Target="http://www.sec.gov/Archives/edgar/data/2002045/000121390025098118/ea0260917-6k_gclglobal.htm" TargetMode="External"/><Relationship Id="rId14" Type="http://schemas.openxmlformats.org/officeDocument/2006/relationships/hyperlink" Target="http://www.sec.gov/Archives/edgar/data/2002045/000121390025099537/ea0261511-6k_gclglobal.htm" TargetMode="External"/><Relationship Id="rId15" Type="http://schemas.openxmlformats.org/officeDocument/2006/relationships/hyperlink" Target="http://www.sec.gov/Archives/edgar/data/2002045/000121390025114439/ea0267129-6k_gclglobal.htm" TargetMode="External"/><Relationship Id="rId16" Type="http://schemas.openxmlformats.org/officeDocument/2006/relationships/hyperlink" Target="http://www.sec.gov/Archives/edgar/data/2002045/000121390025117237/ea0268118-6k_gcl.htm" TargetMode="External"/><Relationship Id="rId17" Type="http://schemas.openxmlformats.org/officeDocument/2006/relationships/hyperlink" Target="http://www.sec.gov/Archives/edgar/data/2002045/000121390025118045/ea0268389-6k_gcl.htm" TargetMode="External"/><Relationship Id="rId18" Type="http://schemas.openxmlformats.org/officeDocument/2006/relationships/hyperlink" Target="http://www.sec.gov/ix?doc=/Archives/edgar/data/2002045/000121390026009911/ea0271723-6k_gcl.htm" TargetMode="External"/><Relationship Id="rId19" Type="http://schemas.openxmlformats.org/officeDocument/2006/relationships/hyperlink" Target="http://www.sec.gov/Archives/edgar/data/2002045/000121390026032630/ea0282778-6k_gclglobal.htm" TargetMode="External"/><Relationship Id="rId20" Type="http://schemas.openxmlformats.org/officeDocument/2006/relationships/hyperlink" Target="http://www.sec.gov/Archives/edgar/data/2002045/000121390026034371/ea0283525-6k_gclglobal.htm" TargetMode="External"/><Relationship Id="rId21" Type="http://schemas.openxmlformats.org/officeDocument/2006/relationships/hyperlink" Target="http://www.sec.gov/Archives/edgar/data/2002045/000121390026036405/ea0283829-6k_gclglobal.htm" TargetMode="External"/><Relationship Id="rId22" Type="http://schemas.openxmlformats.org/officeDocument/2006/relationships/hyperlink" Target="http://www.sec.gov/Archives/edgar/data/2002045/000121390026036885/ea0284228-6k_gclglobal.htm" TargetMode="External"/><Relationship Id="rId23" Type="http://schemas.openxmlformats.org/officeDocument/2006/relationships/hyperlink" Target="http://www.sec.gov/Archives/edgar/data/2002045/000121390026043238/ea0286221-6k_gcl.htm" TargetMode="External"/><Relationship Id="rId24" Type="http://schemas.openxmlformats.org/officeDocument/2006/relationships/hyperlink" Target="http://www.sec.gov/Archives/edgar/data/2002045/000121390026048866/ea0287551-6k_gcl.htm" TargetMode="External"/><Relationship Id="rId25" Type="http://schemas.openxmlformats.org/officeDocument/2006/relationships/hyperlink" Target="http://www.sec.gov/Archives/edgar/data/2002045/000110465925012646/tm256412d1_8a12b.htm" TargetMode="External"/><Relationship Id="rId26" Type="http://schemas.openxmlformats.org/officeDocument/2006/relationships/hyperlink" Target="http://www.sec.gov/Archives/edgar/data/2002045/000121390025017448/ea023214801ex1-1_gclglobal.htm" TargetMode="External"/><Relationship Id="rId27" Type="http://schemas.openxmlformats.org/officeDocument/2006/relationships/hyperlink" Target="http://www.sec.gov/Archives/edgar/data/2002045/000121390025046606/ea024287701ex4-1_gclglobal.htm" TargetMode="External"/><Relationship Id="rId28" Type="http://schemas.openxmlformats.org/officeDocument/2006/relationships/hyperlink" Target="http://www.sec.gov/Archives/edgar/data/2002045/000121390025062056/ea024724601ex4-1_gclglobal.htm" TargetMode="External"/><Relationship Id="rId29" Type="http://schemas.openxmlformats.org/officeDocument/2006/relationships/hyperlink" Target="http://www.sec.gov/Archives/edgar/data/2002045/000121390025068452/ea025058001ex4-1_gclglobal.htm" TargetMode="External"/><Relationship Id="rId30" Type="http://schemas.openxmlformats.org/officeDocument/2006/relationships/hyperlink" Target="http://www.sec.gov/Archives/edgar/data/2002045/000121390026048866/ea028755101ex4-1.htm" TargetMode="External"/><Relationship Id="rId31" Type="http://schemas.openxmlformats.org/officeDocument/2006/relationships/hyperlink" Target="http://www.sec.gov/Archives/edgar/data/2002045/000121390025084489/ea025575301ex5-1_gclglobal.htm" TargetMode="External"/><Relationship Id="rId32" Type="http://schemas.openxmlformats.org/officeDocument/2006/relationships/hyperlink" Target="http://www.sec.gov/Archives/edgar/data/2002045/000121390025017448/ea023214801ex10-1_gclglobal.htm" TargetMode="External"/><Relationship Id="rId33" Type="http://schemas.openxmlformats.org/officeDocument/2006/relationships/hyperlink" Target="http://www.sec.gov/Archives/edgar/data/2002045/000121390025017448/ea023214801ex10-2_gclglobal.htm" TargetMode="External"/><Relationship Id="rId34" Type="http://schemas.openxmlformats.org/officeDocument/2006/relationships/hyperlink" Target="http://www.sec.gov/Archives/edgar/data/2002045/000121390025017448/ea023214801ex10-3_gclglobal.htm" TargetMode="External"/><Relationship Id="rId35" Type="http://schemas.openxmlformats.org/officeDocument/2006/relationships/hyperlink" Target="http://www.sec.gov/Archives/edgar/data/2002045/000121390025017448/ea023214801ex10-4_gclglobal.htm" TargetMode="External"/><Relationship Id="rId36" Type="http://schemas.openxmlformats.org/officeDocument/2006/relationships/hyperlink" Target="http://www.sec.gov/Archives/edgar/data/1847607/000110465924109871/tm2425993d1_ex10-1.htm" TargetMode="External"/><Relationship Id="rId37" Type="http://schemas.openxmlformats.org/officeDocument/2006/relationships/hyperlink" Target="http://www.sec.gov/Archives/edgar/data/1847607/000110465925009455/tm255401d1_ex10-1.htm" TargetMode="External"/><Relationship Id="rId38" Type="http://schemas.openxmlformats.org/officeDocument/2006/relationships/hyperlink" Target="http://www.sec.gov/Archives/edgar/data/2002045/000110465924130239/tm2332564d21_ex10-24.htm" TargetMode="External"/><Relationship Id="rId39" Type="http://schemas.openxmlformats.org/officeDocument/2006/relationships/hyperlink" Target="http://www.sec.gov/Archives/edgar/data/2002045/000121390025069672/ea0246480ex10-6i_gclglobal.htm" TargetMode="External"/><Relationship Id="rId40" Type="http://schemas.openxmlformats.org/officeDocument/2006/relationships/hyperlink" Target="http://www.sec.gov/Archives/edgar/data/2002045/000121390026009911/ea027172301ex99-4_gcl.htm" TargetMode="External"/><Relationship Id="rId41" Type="http://schemas.openxmlformats.org/officeDocument/2006/relationships/hyperlink" Target="http://www.sec.gov/Archives/edgar/data/2002045/000121390025069672/ea024648001ex10-7_gclglobal.htm" TargetMode="External"/><Relationship Id="rId42" Type="http://schemas.openxmlformats.org/officeDocument/2006/relationships/hyperlink" Target="http://www.sec.gov/Archives/edgar/data/2002045/000121390026048866/ea028755101ex10-1.htm" TargetMode="External"/><Relationship Id="rId43" Type="http://schemas.openxmlformats.org/officeDocument/2006/relationships/hyperlink" Target="http://www.sec.gov/Archives/edgar/data/2002045/000121390025069672/ea024648001ex10-8_gclglobal.htm" TargetMode="External"/><Relationship Id="rId44" Type="http://schemas.openxmlformats.org/officeDocument/2006/relationships/hyperlink" Target="http://www.sec.gov/Archives/edgar/data/2002045/000110465924076178/tm2332564d5_ex10-5.htm" TargetMode="External"/><Relationship Id="rId45" Type="http://schemas.openxmlformats.org/officeDocument/2006/relationships/hyperlink" Target="http://www.sec.gov/Archives/edgar/data/2002045/000110465924076178/tm2332564d5_ex10-6.htm" TargetMode="External"/><Relationship Id="rId46" Type="http://schemas.openxmlformats.org/officeDocument/2006/relationships/hyperlink" Target="http://www.sec.gov/Archives/edgar/data/2002045/000110465924076178/tm2332564d5_ex10-7.htm" TargetMode="External"/><Relationship Id="rId47" Type="http://schemas.openxmlformats.org/officeDocument/2006/relationships/hyperlink" Target="http://www.sec.gov/Archives/edgar/data/2002045/000121390025069672/ea024648001ex10-12_gclglobal.htm" TargetMode="External"/><Relationship Id="rId48" Type="http://schemas.openxmlformats.org/officeDocument/2006/relationships/hyperlink" Target="http://www.sec.gov/Archives/edgar/data/2002045/000121390025069672/ea024648001ex10-13_gclglobal.htm" TargetMode="External"/><Relationship Id="rId49" Type="http://schemas.openxmlformats.org/officeDocument/2006/relationships/hyperlink" Target="http://www.sec.gov/Archives/edgar/data/2002045/000121390025017448/ea023214801ex10-6_gclglobal.htm" TargetMode="External"/><Relationship Id="rId50" Type="http://schemas.openxmlformats.org/officeDocument/2006/relationships/hyperlink" Target="http://www.sec.gov/Archives/edgar/data/2002045/000121390025038431/ea023966401ex4-2_gclglobal.htm" TargetMode="External"/><Relationship Id="rId51" Type="http://schemas.openxmlformats.org/officeDocument/2006/relationships/hyperlink" Target="http://www.sec.gov/Archives/edgar/data/2002045/000121390025069672/ea024648001ex21_gclglobal.htm" TargetMode="External"/><Relationship Id="rId52" Type="http://schemas.openxmlformats.org/officeDocument/2006/relationships/hyperlink" Target="http://www.sec.gov/Archives/edgar/data/2002045/000121390025084489/ea025575301ex-fee_gclglobal.htm" TargetMode="External"/><Relationship Id="rId53" Type="http://schemas.openxmlformats.org/officeDocument/2006/relationships/image" Target="media/image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28071</Words>
  <Characters>148782</Characters>
  <CharactersWithSpaces>177507</CharactersWithSpaces>
  <Paragraphs>1911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