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270-424b3_gclglobal.htm"/>
      <w:bookmarkStart w:id="1" w:name="ksea0305270424b3_gclglobal"/>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333-298717</w:t>
      </w:r>
    </w:p>
    <w:p>
      <w:pPr>
        <w:pStyle w:val="TextBody"/>
        <w:bidi w:val="0"/>
        <w:jc w:val="center"/>
        <w:rPr/>
      </w:pPr>
      <w:r>
        <w:rPr/>
        <w:t> </w:t>
      </w:r>
    </w:p>
    <w:p>
      <w:pPr>
        <w:pStyle w:val="TextBody"/>
        <w:bidi w:val="0"/>
        <w:jc w:val="center"/>
        <w:rPr>
          <w:b/>
        </w:rPr>
      </w:pPr>
      <w:r>
        <w:rPr>
          <w:b/>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2,201,665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shareholders named in this prospectus under the section entitled “Selling Shareholders” (the “Selling Shareholders”) of up to 2,201,665 ordinary shares, par value $0.0001 per share (the “Resale Shares”) of GCL Global Holdings Ltd, a Cayman Islands exempted company (the “Company,” “PubCo,” “we,” “us” or “our”). The Resale Shares were issued in February 2025 in connection with the Business Combination (defined below) but held in escrow for the Selling Shareholders until March 2026 pursuant to certain Note Purchase Agreements dated between September 2024 and February 2025 among the Company, the Selling Shareholders and other parties named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proceeds from the sale of the Resale Shares by the Selling Shareholders. The Selling Shareholders or their donees, pledgees, transferees or other successors-in-interest may, from time to time, offer and resell their Shares in public transactions or in privately negotiated transactions, without limitation, at market prices prevailing at the time of resale or at negotiated prices. The timing and amount of any resale are within the sole discretion of the Selling Shareholders.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resell their Resale Shares through underwriters, broker-dealers or agents, who may receive compensation in the form of discounts, commissions or concessions. The Selling Shareholders will pay all underwriting discounts, brokerage fees or selling commissions, if any, applicable to the resale of the Resale Shares. We will bear all reasonable costs, expenses, and fees in connection with the registration of the Resale Shares with the U.S. Securities and Exchange Commission, and will not receive any proceeds from the sale of the Resale Shares by the Selling Shareholders.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the Selling Shareholders will offer or sell any of the securities registered hereby. The securities are being registered to permit the Selling Shareholders to sell the securities from time to time, in amounts, at prices and on terms determined at the time the Selling Shareholders offer and sell the securities covered by this prospectus. However, the perception in the market that certain shareholders may intend to resell up to 2,201,665 ordinary shares, could increase the volatility of, or result in a significant decline in, the public trading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sell the securities covered by this prospectus through ordinary brokerage transactions, directly to market makers of our securities or through any other means described in the section entitled “Plan of Distribution” herein. In connection with any sales of the securities offered hereunder, the Selling Shareholders, any underwriters, agents, brokers or dealers participating in such sales may be deemed to be “underwriters” within the meaning of the Securities Act of 1933, as amended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Select Market under the symbol “GCL.” On September 10, 2026, the closing price of our ordinary shares was $0.573.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ordinary shares issued and outstanding as of the date of this prospectus are 130,135,432 Ordinary Shares and 128,008,703 Ordinary Shares, respectively. As of the date of this prospectus, Jacky Choo See Wee, our chairman of the board of directors, is able to exercise voting rights with respect to over 50% of the voting power of our issued and outstanding shares through his beneficial ownership of 80,581,793 Ordinary Shares. We are a “controlled company” as defined under the Corporate Governance Rules of Nasdaq. For so long as we remain a controlled company under this definition, we are permitted to, and currently elect to, rely on certain exemptions from corporate governance rules, including the exemption from the rule that a majority of our board of directors must be independent directors. For details, see “</w:t>
      </w:r>
      <w:r>
        <w:rPr>
          <w:rFonts w:ascii="Times New Roman;Times;Serif" w:hAnsi="Times New Roman;Times;Serif"/>
          <w:b w:val="false"/>
          <w:i/>
          <w:caps w:val="false"/>
          <w:smallCaps w:val="false"/>
          <w:sz w:val="20"/>
        </w:rPr>
        <w:t>Item 3. Key Information—D. Risk Factors—Risks Related to GCL Operating as a Public Company—As a “controlled company” under the Nasdaq rules, GCL may choose to exempt itself from certain corporate governance requirements that could have an adverse effect on our public shareholders</w:t>
      </w:r>
      <w:r>
        <w:rPr>
          <w:rFonts w:ascii="Times New Roman;Times;Serif" w:hAnsi="Times New Roman;Times;Serif"/>
          <w:b w:val="false"/>
          <w:i w:val="false"/>
          <w:caps w:val="false"/>
          <w:smallCaps w:val="false"/>
          <w:sz w:val="20"/>
        </w:rPr>
        <w:t>” in our most recent annual report on Form 20-F,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have elected to comply with certain reduced public company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“foreign private issuer,” as defined in the Securities and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 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IS SPECULATIVE AND INVOLVES A HIGH DEGREE OF RISK. SEE THE “RISK FACTORS” SECTION BEGINNING ON PAGE 5 OF THIS PROSPECTUS, IN ANY ACCOMPANYING PROSPECTUS SUPPLEMENT OR IN OUR REPORTS FILED WITH THE SECURITIES AND EXCHANGE COMMISSION THAT ARE INCORPORATED BY REFERENCE IN THIS PROSPECTUS BEFORE MAKING A DECISION TO INVEST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11,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8255"/>
        <w:gridCol w:w="60"/>
        <w:gridCol w:w="530"/>
      </w:tblGrid>
      <w:tr>
        <w:trPr/>
        <w:tc>
          <w:tcPr>
            <w:tcW w:w="8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25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8255" w:type="dxa"/>
            <w:tcBorders/>
            <w:shd w:fill="FFFFFF" w:val="clear"/>
            <w:vAlign w:val="center"/>
          </w:tcPr>
          <w:p>
            <w:pPr>
              <w:pStyle w:val="TableContents"/>
              <w:bidi w:val="0"/>
              <w:spacing w:before="0" w:after="283"/>
              <w:jc w:val="left"/>
              <w:rPr/>
            </w:pPr>
            <w:hyperlink w:anchor="a_002">
              <w:r>
                <w:rPr>
                  <w:rStyle w:val="InternetLink"/>
                </w:rPr>
                <w:t>INDUSTRY AND MARKET DATA</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iii</w:t>
            </w:r>
          </w:p>
        </w:tc>
      </w:tr>
      <w:tr>
        <w:trPr/>
        <w:tc>
          <w:tcPr>
            <w:tcW w:w="8255" w:type="dxa"/>
            <w:tcBorders/>
            <w:shd w:fill="CCEEFF" w:val="clear"/>
            <w:vAlign w:val="center"/>
          </w:tcPr>
          <w:p>
            <w:pPr>
              <w:pStyle w:val="TableContents"/>
              <w:bidi w:val="0"/>
              <w:spacing w:before="0" w:after="283"/>
              <w:jc w:val="left"/>
              <w:rPr/>
            </w:pPr>
            <w:hyperlink w:anchor="a_003">
              <w:r>
                <w:rPr>
                  <w:rStyle w:val="InternetLink"/>
                </w:rPr>
                <w:t>FREQUENTLY USED TERMS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iv</w:t>
            </w:r>
          </w:p>
        </w:tc>
      </w:tr>
      <w:tr>
        <w:trPr/>
        <w:tc>
          <w:tcPr>
            <w:tcW w:w="8255" w:type="dxa"/>
            <w:tcBorders/>
            <w:shd w:fill="FFFFFF" w:val="clear"/>
            <w:vAlign w:val="center"/>
          </w:tcPr>
          <w:p>
            <w:pPr>
              <w:pStyle w:val="TableContents"/>
              <w:bidi w:val="0"/>
              <w:spacing w:before="0" w:after="283"/>
              <w:jc w:val="left"/>
              <w:rPr/>
            </w:pPr>
            <w:hyperlink w:anchor="a_004">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v</w:t>
            </w:r>
          </w:p>
        </w:tc>
      </w:tr>
      <w:tr>
        <w:trPr/>
        <w:tc>
          <w:tcPr>
            <w:tcW w:w="8255" w:type="dxa"/>
            <w:tcBorders/>
            <w:shd w:fill="CCEEFF" w:val="clear"/>
            <w:vAlign w:val="center"/>
          </w:tcPr>
          <w:p>
            <w:pPr>
              <w:pStyle w:val="TableContents"/>
              <w:bidi w:val="0"/>
              <w:spacing w:before="0" w:after="283"/>
              <w:jc w:val="left"/>
              <w:rPr/>
            </w:pPr>
            <w:hyperlink w:anchor="a_005">
              <w:r>
                <w:rPr>
                  <w:rStyle w:val="InternetLink"/>
                </w:rPr>
                <w:t>SUMMARY OF THE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8255" w:type="dxa"/>
            <w:tcBorders/>
            <w:shd w:fill="FFFFFF" w:val="clear"/>
            <w:vAlign w:val="center"/>
          </w:tcPr>
          <w:p>
            <w:pPr>
              <w:pStyle w:val="TableContents"/>
              <w:bidi w:val="0"/>
              <w:spacing w:before="0" w:after="283"/>
              <w:jc w:val="left"/>
              <w:rPr/>
            </w:pPr>
            <w:hyperlink w:anchor="a_006">
              <w:r>
                <w:rPr>
                  <w:rStyle w:val="InternetLink"/>
                </w:rPr>
                <w:t>THE OFFERING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4</w:t>
            </w:r>
          </w:p>
        </w:tc>
      </w:tr>
      <w:tr>
        <w:trPr/>
        <w:tc>
          <w:tcPr>
            <w:tcW w:w="8255" w:type="dxa"/>
            <w:tcBorders/>
            <w:shd w:fill="CCEEFF" w:val="clear"/>
            <w:vAlign w:val="center"/>
          </w:tcPr>
          <w:p>
            <w:pPr>
              <w:pStyle w:val="TableContents"/>
              <w:bidi w:val="0"/>
              <w:spacing w:before="0" w:after="283"/>
              <w:jc w:val="left"/>
              <w:rPr/>
            </w:pPr>
            <w:hyperlink w:anchor="a_007">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w:t>
            </w:r>
          </w:p>
        </w:tc>
      </w:tr>
      <w:tr>
        <w:trPr/>
        <w:tc>
          <w:tcPr>
            <w:tcW w:w="8255" w:type="dxa"/>
            <w:tcBorders/>
            <w:shd w:fill="FFFFFF" w:val="clear"/>
            <w:vAlign w:val="center"/>
          </w:tcPr>
          <w:p>
            <w:pPr>
              <w:pStyle w:val="TableContents"/>
              <w:bidi w:val="0"/>
              <w:spacing w:before="0" w:after="283"/>
              <w:jc w:val="left"/>
              <w:rPr/>
            </w:pPr>
            <w:hyperlink w:anchor="a_008">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w:t>
            </w:r>
          </w:p>
        </w:tc>
      </w:tr>
      <w:tr>
        <w:trPr/>
        <w:tc>
          <w:tcPr>
            <w:tcW w:w="8255" w:type="dxa"/>
            <w:tcBorders/>
            <w:shd w:fill="CCEEFF" w:val="clear"/>
            <w:vAlign w:val="center"/>
          </w:tcPr>
          <w:p>
            <w:pPr>
              <w:pStyle w:val="TableContents"/>
              <w:bidi w:val="0"/>
              <w:spacing w:before="0" w:after="283"/>
              <w:jc w:val="left"/>
              <w:rPr/>
            </w:pPr>
            <w:hyperlink w:anchor="a_009">
              <w:r>
                <w:rPr>
                  <w:rStyle w:val="InternetLink"/>
                </w:rPr>
                <w:t>CERTAIN MATERIAL U.S. FEDERAL INCOME TAX CONSIDERATIONS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w:t>
            </w:r>
          </w:p>
        </w:tc>
      </w:tr>
      <w:tr>
        <w:trPr/>
        <w:tc>
          <w:tcPr>
            <w:tcW w:w="8255" w:type="dxa"/>
            <w:tcBorders/>
            <w:shd w:fill="FFFFFF" w:val="clear"/>
            <w:vAlign w:val="center"/>
          </w:tcPr>
          <w:p>
            <w:pPr>
              <w:pStyle w:val="TableContents"/>
              <w:bidi w:val="0"/>
              <w:spacing w:before="0" w:after="283"/>
              <w:jc w:val="left"/>
              <w:rPr/>
            </w:pPr>
            <w:hyperlink w:anchor="a_010">
              <w:r>
                <w:rPr>
                  <w:rStyle w:val="InternetLink"/>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12</w:t>
            </w:r>
          </w:p>
        </w:tc>
      </w:tr>
      <w:tr>
        <w:trPr/>
        <w:tc>
          <w:tcPr>
            <w:tcW w:w="8255" w:type="dxa"/>
            <w:tcBorders/>
            <w:shd w:fill="CCEEFF" w:val="clear"/>
            <w:vAlign w:val="center"/>
          </w:tcPr>
          <w:p>
            <w:pPr>
              <w:pStyle w:val="TableContents"/>
              <w:bidi w:val="0"/>
              <w:spacing w:before="0" w:after="283"/>
              <w:jc w:val="left"/>
              <w:rPr/>
            </w:pPr>
            <w:hyperlink w:anchor="a_011">
              <w:r>
                <w:rPr>
                  <w:rStyle w:val="InternetLink"/>
                </w:rPr>
                <w:t>SELLING SHAREHOLDERS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19</w:t>
            </w:r>
          </w:p>
        </w:tc>
      </w:tr>
      <w:tr>
        <w:trPr/>
        <w:tc>
          <w:tcPr>
            <w:tcW w:w="8255" w:type="dxa"/>
            <w:tcBorders/>
            <w:shd w:fill="FFFFFF" w:val="clear"/>
            <w:vAlign w:val="center"/>
          </w:tcPr>
          <w:p>
            <w:pPr>
              <w:pStyle w:val="TableContents"/>
              <w:bidi w:val="0"/>
              <w:spacing w:before="0" w:after="283"/>
              <w:jc w:val="left"/>
              <w:rPr/>
            </w:pPr>
            <w:hyperlink w:anchor="a_012">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255" w:type="dxa"/>
            <w:tcBorders/>
            <w:shd w:fill="CCEEFF" w:val="clear"/>
            <w:vAlign w:val="center"/>
          </w:tcPr>
          <w:p>
            <w:pPr>
              <w:pStyle w:val="TableContents"/>
              <w:bidi w:val="0"/>
              <w:spacing w:before="0" w:after="283"/>
              <w:jc w:val="left"/>
              <w:rPr/>
            </w:pPr>
            <w:hyperlink w:anchor="a_013">
              <w:r>
                <w:rPr>
                  <w:rStyle w:val="InternetLink"/>
                </w:rPr>
                <w:t>EXPENSES RELATING TO THIS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23</w:t>
            </w:r>
          </w:p>
        </w:tc>
      </w:tr>
      <w:tr>
        <w:trPr/>
        <w:tc>
          <w:tcPr>
            <w:tcW w:w="8255" w:type="dxa"/>
            <w:tcBorders/>
            <w:shd w:fill="FFFFFF" w:val="clear"/>
            <w:vAlign w:val="center"/>
          </w:tcPr>
          <w:p>
            <w:pPr>
              <w:pStyle w:val="TableContents"/>
              <w:bidi w:val="0"/>
              <w:spacing w:before="0" w:after="283"/>
              <w:jc w:val="left"/>
              <w:rPr/>
            </w:pPr>
            <w:hyperlink w:anchor="a_014">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255"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r>
        <w:trPr/>
        <w:tc>
          <w:tcPr>
            <w:tcW w:w="8255" w:type="dxa"/>
            <w:tcBorders/>
            <w:shd w:fill="FFFFFF" w:val="clear"/>
            <w:vAlign w:val="center"/>
          </w:tcPr>
          <w:p>
            <w:pPr>
              <w:pStyle w:val="TableContents"/>
              <w:bidi w:val="0"/>
              <w:spacing w:before="0" w:after="283"/>
              <w:jc w:val="left"/>
              <w:rPr/>
            </w:pPr>
            <w:hyperlink w:anchor="a_016">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255" w:type="dxa"/>
            <w:tcBorders/>
            <w:shd w:fill="CCEEFF" w:val="clear"/>
            <w:vAlign w:val="center"/>
          </w:tcPr>
          <w:p>
            <w:pPr>
              <w:pStyle w:val="TableContents"/>
              <w:bidi w:val="0"/>
              <w:spacing w:before="0" w:after="283"/>
              <w:jc w:val="left"/>
              <w:rPr/>
            </w:pPr>
            <w:hyperlink w:anchor="a_017">
              <w:r>
                <w:rPr>
                  <w:rStyle w:val="InternetLink"/>
                </w:rPr>
                <w:t>ENFORCEABILITY OF CIVIL LIABILITIES UNDER U.S. SECURITIES LAWS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r>
        <w:trPr/>
        <w:tc>
          <w:tcPr>
            <w:tcW w:w="8255" w:type="dxa"/>
            <w:tcBorders/>
            <w:shd w:fill="FFFFFF" w:val="clear"/>
            <w:vAlign w:val="center"/>
          </w:tcPr>
          <w:p>
            <w:pPr>
              <w:pStyle w:val="TableContents"/>
              <w:bidi w:val="0"/>
              <w:spacing w:before="0" w:after="283"/>
              <w:jc w:val="left"/>
              <w:rPr/>
            </w:pPr>
            <w:hyperlink w:anchor="a_018">
              <w:r>
                <w:rPr>
                  <w:rStyle w:val="InternetLink"/>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any amendment or supplement. Neither we nor the Selling Shareholders have authorized anyone else to provide you with different information. The securities offered by this prospectus are being offered only in jurisdictions where the offer is permitted. You should not assume that the information in this prospectus or any amendment or supplement is accurate as of any date other than the date on the front of each document.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prospectus, neither we nor the Selling Shareholders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filed with the SEC by GCL Global Holdings Ltd. The Selling Shareholders named in this prospectus may, from time to time, sell the securities described in this prospectus in one or more offerings. This prospectus includes important information about us, the securities being offered by the Selling Shareholders and other information you should know before investing. We may provide a prospectus supplement or post-effective amendment to the registration statement to add information to, or update or change information contained in, this prospectus. If there is any inconsistency between the information contained in this prospectus and any prospectus supplement or post-effective amendment, you should rely on the information contained in that particular prospectus supplement or post-effective amendment. You should read this prospectus together with the additional information about us described in the section below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You should rely only on information contained in this prospectus, any prospectus supplement and any related free writing prospectus. Neither we nor the Selling Shareholders have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sell the securities directly to purchasers, through agents selected by the Selling Shareholders,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Selling Shareholders have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Ordinary Shares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INDUSTRY AND MARKET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other information concerning our industry, including market size and growth of the market in which we participate, that are derived from various public sources. This information involves a number of assumptions and limitations, and you are cautioned not to give undue weight to these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In some cases, we do not expressly refer to the sources from which these estimates and information are derived. While we have compiled, extracted, and reproduced industry data from these sources, we have not independently verified the data.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in this prospectus,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20-F, and any updates to those risk factors in our reports on Form 6-K incorporated by reference in this prospectus, together with all of the other information appearing or incorporated by reference in this prospectus. These and other factors could cause results to differ materially from those expressed in any forecasts or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otherwise requires, the “GCL,” “GCL Group,” “Company” and references to “we,” “us,” or similar such references should be understood to be references to GCL Global Holdings Ltd and its subsidiaries and consolidated affiliated entities (“Group Subsidiaries,” each a “Group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stated, references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“USD,” “US$” and “U.S. dollar” each refers to the United States dollar.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the Company’s current amended and restated memorandum and articles of association, adopted on February 13,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Ancillary Agreements” means certain additional agreements entered into pursuant to or in connection with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April 2026 Warrant” means the three-year warrant the Company issued to an institutional investor on April 28, 2026 for 1,125,000 shares at an initial exercise price of $8.00 per share, subject to full-ratchet anti-dilution adjustments and other price protections in the event of, among other things, a reverse stock split or share combination, in exchange for a portion of the then-outstanding convertible notes pursuant to a certain Exchange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 Leong” means Ban Leong Technologies Pte. Ltd. (formerly known as “Ban Leong Technologies Limited” prior to its delisting from the Singapore Stock Exchange on August 26, 2025), a Singapore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“Transactions,” or “Merger” means, collectively, the transactions contemplated by the Merger Agreement and the Ancillary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closing of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February 13,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Companies Act (As Revised) of the Cayman Islands as the same may be amended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Agreement” means that certain Amendment, Waiver and Exchange Agreement between an accredited investor and the Company dated April 28,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dated as of October 18, 2023 (as amended on December 1, 2023, December 15, 2023, January 31, 2024, and September 30, 2024) by and among (i) the Company, (ii) RF Acquisition Corp., a Delaware corporation (“RFAC”), (iii) Grand Centrex Limited, a British Virgin Islands business company (“GCL BVI”), (iv) GCL Global Limited, a Cayman Islands exempted company limited by shares (“GCL Global”), and, (v) for the limited purposes set forth therein, RF Dynamic LLC, a Delaware limited liability company (the “Sponsor”).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collectively, the ordinary shares of the Company, each with par value $0.0001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RFAC” means RF Acquisition Corp.,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Sarbanes-Oxley Act” means the Sarbanes-Oxley Act of 2002, as may be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means RF Dynamic LLC, a Delaware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Transactions” means, collectively, the Mergers and each of the other transactions contemplated by the Merger Agreement or any of the Ancillary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means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or “GAAP” means generally accepted accounting principles in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 means warrants of the Company, each exercisable for one Ordinary Share at an exercise price of $11.50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Forward-looking statements also include statements regarding the expected benefits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pPr>
            <w:r>
              <w:rPr/>
              <w:t>the benefits from the acquisition of Ban Leong;</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successfully integrate Ban Leong into GCL Group and achieve economies of scale and operational efficiencies;</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invest in growth initiatives and pursue acquisition opportunities;</w:t>
            </w:r>
          </w:p>
        </w:tc>
      </w:tr>
    </w:tbl>
    <w:p>
      <w:pPr>
        <w:pStyle w:val="TextBody"/>
        <w:bidi w:val="0"/>
        <w:spacing w:before="0" w:after="0"/>
        <w:ind w:left="0" w:right="0" w:firstLine="702"/>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the ability to execute our growth strategy and diversify revenue streams;</w:t>
            </w:r>
          </w:p>
        </w:tc>
      </w:tr>
    </w:tbl>
    <w:p>
      <w:pPr>
        <w:pStyle w:val="TextBody"/>
        <w:bidi w:val="0"/>
        <w:spacing w:before="0" w:after="0"/>
        <w:ind w:left="0" w:right="0" w:firstLine="702"/>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pPr>
            <w:r>
              <w:rPr/>
              <w:t>the ability to expand our operations and geographic reach;</w:t>
            </w:r>
          </w:p>
        </w:tc>
      </w:tr>
    </w:tbl>
    <w:p>
      <w:pPr>
        <w:pStyle w:val="TextBody"/>
        <w:bidi w:val="0"/>
        <w:spacing w:before="0" w:after="0"/>
        <w:ind w:left="0" w:right="0" w:firstLine="702"/>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the ability to manage growth and maintain our corporate culture as we grow;</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regulatory environment and changes in laws, regulations or policies in the jurisdictions in which we operate;</w:t>
            </w:r>
          </w:p>
        </w:tc>
      </w:tr>
    </w:tbl>
    <w:p>
      <w:pPr>
        <w:pStyle w:val="TextBody"/>
        <w:bidi w:val="0"/>
        <w:spacing w:before="0" w:after="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pPr>
            <w:r>
              <w:rPr/>
              <w:t>political instability in the jurisdictions in which we operate;</w:t>
            </w:r>
          </w:p>
        </w:tc>
      </w:tr>
    </w:tbl>
    <w:p>
      <w:pPr>
        <w:pStyle w:val="TextBody"/>
        <w:bidi w:val="0"/>
        <w:spacing w:before="0" w:after="0"/>
        <w:ind w:left="0" w:right="0" w:firstLine="702"/>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pPr>
            <w:r>
              <w:rPr/>
              <w:t>exchange and interest rate fluctuations;</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anticipated technology trends and developments and our ability to address those trends and developments with our offerings;</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loss of key personnel and the inability to replace such personnel on a timely basis or on acceptable terms;</w:t>
            </w:r>
          </w:p>
        </w:tc>
      </w:tr>
    </w:tbl>
    <w:p>
      <w:pPr>
        <w:pStyle w:val="TextBody"/>
        <w:bidi w:val="0"/>
        <w:spacing w:before="0" w:after="0"/>
        <w:ind w:left="0" w:right="0" w:firstLine="702"/>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changes of our capital needs and our ability to raise financing;</w:t>
            </w:r>
          </w:p>
        </w:tc>
      </w:tr>
    </w:tbl>
    <w:p>
      <w:pPr>
        <w:pStyle w:val="TextBody"/>
        <w:bidi w:val="0"/>
        <w:spacing w:before="0" w:after="0"/>
        <w:ind w:left="0" w:right="0" w:firstLine="702"/>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ability to maintain the listing of our securities on Nasdaq;</w:t>
            </w:r>
          </w:p>
        </w:tc>
      </w:tr>
    </w:tbl>
    <w:p>
      <w:pPr>
        <w:pStyle w:val="TextBody"/>
        <w:bidi w:val="0"/>
        <w:spacing w:before="0" w:after="0"/>
        <w:ind w:left="0" w:right="0" w:firstLine="702"/>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pPr>
            <w:r>
              <w:rPr/>
              <w:t>the ability to utilize the “controlled company” exemption under the rules of Nasdaq;</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litigation and regulatory enforcement risks, including the diversion of management time and attention and the additional costs and demands on our resources; and</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other matters described under “</w:t>
            </w:r>
            <w:r>
              <w:rPr>
                <w:i/>
              </w:rPr>
              <w:t>Item 3. Key Information—D. Risk Factors</w:t>
            </w:r>
            <w:r>
              <w:rPr/>
              <w:t>” in our most recent annual report on Form 20-F, incorporated herein by reference.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under the headings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20-F and any updates to those risk factors in our reports on Form 6-K incorporated by reference in this prospectus, together with all of the other information appearing or incorporated by reference in this prospectus.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6" w:name="a_005"/>
      <w:bookmarkEnd w:id="6"/>
      <w:r>
        <w:rPr>
          <w:rFonts w:ascii="Times New Roman;Times;Serif" w:hAnsi="Times New Roman;Times;Serif"/>
          <w:b/>
          <w:i w:val="false"/>
          <w:caps w:val="false"/>
          <w:smallCaps w:val="false"/>
          <w:sz w:val="20"/>
          <w:bdr w:val="single" w:sz="12" w:space="1" w:color="000000"/>
        </w:rPr>
        <w:t>SUMMARY OF THE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GCL Global Holdings Ltd, together with the Group Subsidiaries (“</w:t>
      </w:r>
      <w:r>
        <w:rPr>
          <w:rFonts w:ascii="Times New Roman;Times;Serif" w:hAnsi="Times New Roman;Times;Serif"/>
          <w:b/>
          <w:i/>
          <w:caps w:val="false"/>
          <w:smallCaps w:val="false"/>
          <w:sz w:val="20"/>
          <w:bdr w:val="single" w:sz="12" w:space="1" w:color="000000"/>
        </w:rPr>
        <w:t>GCL Group</w:t>
      </w:r>
      <w:r>
        <w:rPr>
          <w:rFonts w:ascii="Times New Roman;Times;Serif" w:hAnsi="Times New Roman;Times;Serif"/>
          <w:b w:val="false"/>
          <w:i w:val="false"/>
          <w:caps w:val="false"/>
          <w:smallCaps w:val="false"/>
          <w:sz w:val="20"/>
          <w:bdr w:val="single" w:sz="12" w:space="1" w:color="000000"/>
        </w:rPr>
        <w:t>”), is an integrated games, entertainment and technology products group engaged in the marketing, distribution, publishing and development of video games and other entertainment content across Asia, Europe, the United States and Latin America. Following our acquisition of Ban Leong Technologies Limited (“</w:t>
      </w:r>
      <w:r>
        <w:rPr>
          <w:rFonts w:ascii="Times New Roman;Times;Serif" w:hAnsi="Times New Roman;Times;Serif"/>
          <w:b/>
          <w:i/>
          <w:caps w:val="false"/>
          <w:smallCaps w:val="false"/>
          <w:sz w:val="20"/>
          <w:bdr w:val="single" w:sz="12" w:space="1" w:color="000000"/>
        </w:rPr>
        <w:t>Ban Leong</w:t>
      </w:r>
      <w:r>
        <w:rPr>
          <w:rFonts w:ascii="Times New Roman;Times;Serif" w:hAnsi="Times New Roman;Times;Serif"/>
          <w:b w:val="false"/>
          <w:i w:val="false"/>
          <w:caps w:val="false"/>
          <w:smallCaps w:val="false"/>
          <w:sz w:val="20"/>
          <w:bdr w:val="single" w:sz="12" w:space="1" w:color="000000"/>
        </w:rPr>
        <w:t xml:space="preserve">”) in May 2025, we expanded our business into the distribution of IT hardware, computer accessories, gaming components, peripherals, data storage devices, smart technology and other consumer technology products across Singapore, Malaysia and Thailand. We sell and distribute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Partnering with international video game publishers and developers, we have an established track record of selling and marketing top-tier video game franchises such as </w:t>
      </w:r>
      <w:r>
        <w:rPr>
          <w:rFonts w:ascii="Times New Roman;Times;Serif" w:hAnsi="Times New Roman;Times;Serif"/>
          <w:b w:val="false"/>
          <w:i/>
          <w:caps w:val="false"/>
          <w:smallCaps w:val="false"/>
          <w:sz w:val="20"/>
          <w:bdr w:val="single" w:sz="12" w:space="1" w:color="000000"/>
        </w:rPr>
        <w:t>Grand Theft Auto, Red Dead Redemption, Sonic the Hedgehog, Cyberpunk 2077 and Black Myth: Wukong</w:t>
      </w:r>
      <w:r>
        <w:rPr>
          <w:rFonts w:ascii="Times New Roman;Times;Serif" w:hAnsi="Times New Roman;Times;Serif"/>
          <w:b w:val="false"/>
          <w:i w:val="false"/>
          <w:caps w:val="false"/>
          <w:smallCaps w:val="false"/>
          <w:sz w:val="20"/>
          <w:bdr w:val="single" w:sz="12" w:space="1" w:color="000000"/>
        </w:rPr>
        <w:t>. Approximately 95.8%, 86.8%, and 93.3% of our total consolidated revenue for the fiscal years ended March 31, 2026, 2025, and 2024, respectively, was derived from the sale of either games on consoles such as Sony PlayStation, Microsoft Xbox, Nintendo Switch and personal computer (“</w:t>
      </w:r>
      <w:r>
        <w:rPr>
          <w:rFonts w:ascii="Times New Roman;Times;Serif" w:hAnsi="Times New Roman;Times;Serif"/>
          <w:b/>
          <w:i/>
          <w:caps w:val="false"/>
          <w:smallCaps w:val="false"/>
          <w:sz w:val="20"/>
          <w:bdr w:val="single" w:sz="12" w:space="1" w:color="000000"/>
        </w:rPr>
        <w:t>PC</w:t>
      </w:r>
      <w:r>
        <w:rPr>
          <w:rFonts w:ascii="Times New Roman;Times;Serif" w:hAnsi="Times New Roman;Times;Serif"/>
          <w:b w:val="false"/>
          <w:i w:val="false"/>
          <w:caps w:val="false"/>
          <w:smallCaps w:val="false"/>
          <w:sz w:val="20"/>
          <w:bdr w:val="single" w:sz="12" w:space="1" w:color="000000"/>
        </w:rPr>
        <w:t>”) to retailers, game activation keys (the so-called “</w:t>
      </w:r>
      <w:r>
        <w:rPr>
          <w:rFonts w:ascii="Times New Roman;Times;Serif" w:hAnsi="Times New Roman;Times;Serif"/>
          <w:b/>
          <w:i/>
          <w:caps w:val="false"/>
          <w:smallCaps w:val="false"/>
          <w:sz w:val="20"/>
          <w:bdr w:val="single" w:sz="12" w:space="1" w:color="000000"/>
        </w:rPr>
        <w:t>game codes</w:t>
      </w:r>
      <w:r>
        <w:rPr>
          <w:rFonts w:ascii="Times New Roman;Times;Serif" w:hAnsi="Times New Roman;Times;Serif"/>
          <w:b w:val="false"/>
          <w:i w:val="false"/>
          <w:caps w:val="false"/>
          <w:smallCaps w:val="false"/>
          <w:sz w:val="20"/>
          <w:bdr w:val="single" w:sz="12" w:space="1" w:color="000000"/>
        </w:rPr>
        <w:t>”) via electronic delivery to retailers or end-users through email or download and sales of IT hardware and computer accessories to retailers.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operate an ecosystem of content and hardware in games and entertainment, enabling creators to deliver engaging experiences to gaming communities worldwide with a strategic focus on the rapidly expanding Asian gaming market. In 2022, we formed 4Divinity, dedicated to our game publishing business investing in upcoming game titles as either a publisher or a co-publisher for the global market. Approximately 3.0%, 11.3%, and 3.5% of our total consolidated revenue for the fiscal years ended March 31, 2026, 2025, and 2024, respectively, was derived from game publishing. As of the date of this prospectus, 4Divinity has either published or co-published more than 15 game titles. In May 2025, we acquired Ban Leong, a leading Singapore-based distributor of IT hardware, gaming components, and smart technology, with operations across Singapore, Malaysia, and Thailand. We also have our own production studio and advertising agency, providing media and content advertising services for small and medium-sized enterprises (the “SMEs”) and government agencies.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w:t>
      </w:r>
      <w:r>
        <w:rPr>
          <w:rFonts w:ascii="Times New Roman;Times;Serif" w:hAnsi="Times New Roman;Times;Serif"/>
          <w:b/>
          <w:i/>
          <w:caps w:val="false"/>
          <w:smallCaps w:val="false"/>
          <w:sz w:val="20"/>
          <w:bdr w:val="single" w:sz="12" w:space="1" w:color="000000"/>
        </w:rPr>
        <w:t>Sega</w:t>
      </w:r>
      <w:r>
        <w:rPr>
          <w:rFonts w:ascii="Times New Roman;Times;Serif" w:hAnsi="Times New Roman;Times;Serif"/>
          <w:b w:val="false"/>
          <w:i w:val="false"/>
          <w:caps w:val="false"/>
          <w:smallCaps w:val="false"/>
          <w:sz w:val="20"/>
          <w:bdr w:val="single" w:sz="12" w:space="1" w:color="000000"/>
        </w:rPr>
        <w:t>”), Take-Two Interactive Software UK Limited (“</w:t>
      </w:r>
      <w:r>
        <w:rPr>
          <w:rFonts w:ascii="Times New Roman;Times;Serif" w:hAnsi="Times New Roman;Times;Serif"/>
          <w:b/>
          <w:i/>
          <w:caps w:val="false"/>
          <w:smallCaps w:val="false"/>
          <w:sz w:val="20"/>
          <w:bdr w:val="single" w:sz="12" w:space="1" w:color="000000"/>
        </w:rPr>
        <w:t>Take-two</w:t>
      </w:r>
      <w:r>
        <w:rPr>
          <w:rFonts w:ascii="Times New Roman;Times;Serif" w:hAnsi="Times New Roman;Times;Serif"/>
          <w:b w:val="false"/>
          <w:i w:val="false"/>
          <w:caps w:val="false"/>
          <w:smallCaps w:val="false"/>
          <w:sz w:val="20"/>
          <w:bdr w:val="single" w:sz="12" w:space="1" w:color="000000"/>
        </w:rPr>
        <w:t>”), CD Projekt S.A. (“</w:t>
      </w:r>
      <w:r>
        <w:rPr>
          <w:rFonts w:ascii="Times New Roman;Times;Serif" w:hAnsi="Times New Roman;Times;Serif"/>
          <w:b/>
          <w:i/>
          <w:caps w:val="false"/>
          <w:smallCaps w:val="false"/>
          <w:sz w:val="20"/>
          <w:bdr w:val="single" w:sz="12" w:space="1" w:color="000000"/>
        </w:rPr>
        <w:t>CDPR</w:t>
      </w:r>
      <w:r>
        <w:rPr>
          <w:rFonts w:ascii="Times New Roman;Times;Serif" w:hAnsi="Times New Roman;Times;Serif"/>
          <w:b w:val="false"/>
          <w:i w:val="false"/>
          <w:caps w:val="false"/>
          <w:smallCaps w:val="false"/>
          <w:sz w:val="20"/>
          <w:bdr w:val="single" w:sz="12" w:space="1" w:color="000000"/>
        </w:rPr>
        <w:t>”)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17.9 million of physical and digital copies of video games during the past three fiscal years. It has distributed in Asia four of the top ten best-selling video games of all times, three of which it is currently still selling. It is also responsible for bringing to Asia some award-winning all-time favorite video games, such as </w:t>
      </w:r>
      <w:r>
        <w:rPr>
          <w:rFonts w:ascii="Times New Roman;Times;Serif" w:hAnsi="Times New Roman;Times;Serif"/>
          <w:b w:val="false"/>
          <w:i/>
          <w:caps w:val="false"/>
          <w:smallCaps w:val="false"/>
          <w:sz w:val="20"/>
          <w:bdr w:val="single" w:sz="12" w:space="1" w:color="000000"/>
        </w:rPr>
        <w:t>Hogwarts Legacy, Grand Theft Auto IV, Grand Theft Auto V, Red Dead Redemption II, Cyberpunk 2077, The Witcher 3: Wild Hunt,</w:t>
      </w:r>
      <w:r>
        <w:rPr>
          <w:rFonts w:ascii="Times New Roman;Times;Serif" w:hAnsi="Times New Roman;Times;Serif"/>
          <w:b w:val="false"/>
          <w:i w:val="false"/>
          <w:caps w:val="false"/>
          <w:smallCaps w:val="false"/>
          <w:sz w:val="20"/>
          <w:bdr w:val="single" w:sz="12" w:space="1" w:color="000000"/>
        </w:rPr>
        <w:t>  </w:t>
      </w:r>
      <w:r>
        <w:rPr>
          <w:rFonts w:ascii="Times New Roman;Times;Serif" w:hAnsi="Times New Roman;Times;Serif"/>
          <w:b w:val="false"/>
          <w:i/>
          <w:caps w:val="false"/>
          <w:smallCaps w:val="false"/>
          <w:sz w:val="20"/>
          <w:bdr w:val="single" w:sz="12" w:space="1" w:color="000000"/>
        </w:rPr>
        <w:t xml:space="preserve">Elden Ring: Nightreign </w:t>
      </w:r>
      <w:r>
        <w:rPr>
          <w:rFonts w:ascii="Times New Roman;Times;Serif" w:hAnsi="Times New Roman;Times;Serif"/>
          <w:b w:val="false"/>
          <w:i w:val="false"/>
          <w:caps w:val="false"/>
          <w:smallCaps w:val="false"/>
          <w:sz w:val="20"/>
          <w:bdr w:val="single" w:sz="12" w:space="1" w:color="000000"/>
        </w:rPr>
        <w:t xml:space="preserve">and </w:t>
      </w:r>
      <w:r>
        <w:rPr>
          <w:rFonts w:ascii="Times New Roman;Times;Serif" w:hAnsi="Times New Roman;Times;Serif"/>
          <w:b w:val="false"/>
          <w:i/>
          <w:caps w:val="false"/>
          <w:smallCaps w:val="false"/>
          <w:sz w:val="20"/>
          <w:bdr w:val="single" w:sz="12" w:space="1" w:color="000000"/>
        </w:rPr>
        <w:t>Black Myth: Wukong</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GCL is a holding company incorporated as an exempted company under the laws of the Cayman Islands. As a holding company with no material operations on its own, we conduct all our operations through our subsidiaries in Singapore, Hong Kong, Malaysia, China, the United Kingdom, Japan, Brazil, Thailand, Taiwan and the United Arab Emirates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Resale by Selling Shareholders pursuant to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relates to the resale from time to time of up to 2,201,665 Ordinary Shares issued in February 2025 in connection with the Business Combination (defined below) but held in escrow for the Selling Shareholders until March 2026 pursuant to certain Note Purchase Agreements dated between September 2024 and February 2025 among the Company, the Selling Shareholders and other parties named therein.</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so long as the effective registration statement of which this prospectus forms a part is available for use, the Selling Shareholders can sell under this prospectus an aggregate of up to 2,201,665 ordinary shares . Although the number of Resale Shares represents less than 2% of the issued and outstanding ordinary shares of the Company, the perception in the market that certain shareholders may intend to sell up to 2,201,665 ordinary shares could increase the volatility of, or result in a significant decline in, the public trading price of our ordinary shares.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exempted company incorporated in the Cayman Islands with limited liability. Our principal executive office is located at 29 Tai Seng Avenue #02-01, Natural Cool Lifestyle Hub, Singapore 534119. Our telephone number is +65 80427330. Our website is www.gclglobalholdings.com.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 website at www.sec.gov which contains in electronic form each of the reports and other information that we have filed electronically with the SEC.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agent for service of process in the United States is Cogency Global Inc., 122 East 42</w:t>
      </w:r>
      <w:r>
        <w:rPr>
          <w:rFonts w:ascii="Times New Roman;Times;Serif" w:hAnsi="Times New Roman;Times;Serif"/>
          <w:b w:val="false"/>
          <w:i w:val="false"/>
          <w:caps w:val="false"/>
          <w:smallCaps w:val="false"/>
          <w:position w:val="7"/>
          <w:sz w:val="16"/>
          <w:sz w:val="20"/>
          <w:bdr w:val="single" w:sz="12" w:space="1" w:color="000000"/>
        </w:rPr>
        <w:t>nd</w:t>
      </w:r>
      <w:r>
        <w:rPr>
          <w:rFonts w:ascii="Times New Roman;Times;Serif" w:hAnsi="Times New Roman;Times;Serif"/>
          <w:b w:val="false"/>
          <w:i w:val="false"/>
          <w:caps w:val="false"/>
          <w:smallCaps w:val="false"/>
          <w:sz w:val="20"/>
          <w:bdr w:val="single" w:sz="12" w:space="1" w:color="000000"/>
        </w:rPr>
        <w:t xml:space="preserve"> Street, 18</w:t>
      </w:r>
      <w:r>
        <w:rPr>
          <w:rFonts w:ascii="Times New Roman;Times;Serif" w:hAnsi="Times New Roman;Times;Serif"/>
          <w:b w:val="false"/>
          <w:i w:val="false"/>
          <w:caps w:val="false"/>
          <w:smallCaps w:val="false"/>
          <w:position w:val="7"/>
          <w:sz w:val="16"/>
          <w:sz w:val="20"/>
          <w:bdr w:val="single" w:sz="12" w:space="1" w:color="000000"/>
        </w:rPr>
        <w:t>th</w:t>
      </w:r>
      <w:r>
        <w:rPr>
          <w:rFonts w:ascii="Times New Roman;Times;Serif" w:hAnsi="Times New Roman;Times;Serif"/>
          <w:b w:val="false"/>
          <w:i w:val="false"/>
          <w:caps w:val="false"/>
          <w:smallCaps w:val="false"/>
          <w:sz w:val="20"/>
          <w:bdr w:val="single" w:sz="12" w:space="1" w:color="000000"/>
        </w:rPr>
        <w:t xml:space="preserve"> Floor, New York, New York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Organizational Structure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chart illustrates the current corporate structure of GCL:</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6724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67246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Names of entities abbreviated in chart:</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085" w:type="dxa"/>
        <w:jc w:val="left"/>
        <w:tblInd w:w="0" w:type="dxa"/>
        <w:tblLayout w:type="fixed"/>
        <w:tblCellMar>
          <w:top w:w="0" w:type="dxa"/>
          <w:left w:w="0" w:type="dxa"/>
          <w:bottom w:w="28" w:type="dxa"/>
          <w:right w:w="0" w:type="dxa"/>
        </w:tblCellMar>
      </w:tblPr>
      <w:tblGrid>
        <w:gridCol w:w="1820"/>
        <w:gridCol w:w="60"/>
        <w:gridCol w:w="1895"/>
        <w:gridCol w:w="60"/>
        <w:gridCol w:w="1685"/>
        <w:gridCol w:w="60"/>
        <w:gridCol w:w="4505"/>
      </w:tblGrid>
      <w:tr>
        <w:trPr/>
        <w:tc>
          <w:tcPr>
            <w:tcW w:w="1820"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68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450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Limited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 Limited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Brazil</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Game Pro Ltda.</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 Sdn. Bhd.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Dubai</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DMCC</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SG</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Pte.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Pte. Ltd.</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 Co., Ltd.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Hong Kong</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HK Ltd.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 Technology Co.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 Ltd.</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 Pte. Ltd.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JP</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Japan Ltd.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 Pte.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 Pte. Ltd.</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Shanghai</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Universe (Shanghai) Technology Co., Ltd.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 Pte. Ltd.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Hangzhou</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Interactive (Hangzhou) Technology Co.,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 Pte. Ltd.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7" w:name="a_006"/>
      <w:bookmarkEnd w:id="7"/>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prospectus relates to the resale of up to 2,201,665 ordinary shares, that may be resold from time to time, by the Selling Shareholders, named in this prospectus. Any investment in the securities offered hereby is speculative and involves a high degree of risk. You should carefully consider the information set forth under “Risk Factors” of this prospectus as well as those contained in our most recent annual report on Form 20-F, and any updates to those risks in our reports on Form 6-K, in each case incorporated by reference herein, together with all of the other information appearing or incorporated by reference herein.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21"/>
        <w:gridCol w:w="60"/>
        <w:gridCol w:w="7624"/>
      </w:tblGrid>
      <w:tr>
        <w:trPr/>
        <w:tc>
          <w:tcPr>
            <w:tcW w:w="2521"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Issuer</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GCL Global Holdings Ltd</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Resale of Ordinary Shares</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Ordinary Shares that may be offered and sold from time to time by the Selling Shareholders</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Up to 2,201,665 Ordinary Shares, par value $0.0001 per share.</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Terms of the Offering</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Selling Shareholders will determine when and how they will dispose of the securities being registered for resale by the Selling Shareholders registered under this prospectus. The securities offered by this prospectus may be offered and sold at prevailing market prices, privately negotiated prices or such other prices as the Selling Shareholders may determine. See the section titled “</w:t>
            </w:r>
            <w:r>
              <w:rPr>
                <w:rFonts w:ascii="Times New Roman;Times;Serif" w:hAnsi="Times New Roman;Times;Serif"/>
                <w:i/>
                <w:sz w:val="20"/>
              </w:rPr>
              <w:t>Plan of Distribution</w:t>
            </w:r>
            <w:r>
              <w:rPr>
                <w:rFonts w:ascii="Times New Roman;Times;Serif" w:hAnsi="Times New Roman;Times;Serif"/>
                <w:sz w:val="20"/>
              </w:rPr>
              <w:t>”.</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Use of proceeds</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will not receive any of the proceeds from the sale of the securities by the Selling Shareholders.</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Market for Ordinary Shares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Ordinary Shares are listed on The Nasdaq Global Select Market under the trading symbol “GCL”.</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Risk factors</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investment in the securities offered hereby is speculative and involves a high degree of risk. See “</w:t>
            </w:r>
            <w:r>
              <w:rPr>
                <w:rFonts w:ascii="Times New Roman;Times;Serif" w:hAnsi="Times New Roman;Times;Serif"/>
                <w:i/>
                <w:sz w:val="20"/>
              </w:rPr>
              <w:t>Risk Factors</w:t>
            </w:r>
            <w:r>
              <w:rPr>
                <w:rFonts w:ascii="Times New Roman;Times;Serif" w:hAnsi="Times New Roman;Times;Serif"/>
                <w:sz w:val="20"/>
              </w:rPr>
              <w:t>” and similar sections in the documents we incorporate by reference into this prospectus for a discussion of factors you should consider carefully before making an investment decision.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business and our industry are subject to significant risks. Investing in our securities involves risk. Before making an investment decision, you should carefully consider the risks described below, under “Risk Factors” in our most recent Annual Report on Form 20-F,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If any of these risks actually occur, our business, financial condition, results of operations, and growth prospects would likely be materially and adversely affected.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risks not presently known to us or that we currently deem immaterial may also impair our business operations. The trading price and value of our securities could decline due to any of these risks, and you may lose all or part of your investment. This prospectus also contains forward-looking statements that involve risks and uncertainties. See the section entitled “Cautionary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is currently not in compliance with certain Nasdaq continued listing requirements; and if we are unable to regain compliance with Nasdaq’s continued listing requirements, our securities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received a notice (the “Bid Price Notice”) from Nasdaq stating that the Company’s ordinary shares failed to comply with the minimum $1.00 per share requirement for continued listing on the Nasdaq under Nasdaq Listing Rule 5450(a)(1) (the “Minimum Bid Price Rule”). Pursuant to Nasdaq Listing Rule 5810(c)(3)(A), the Company has an initial period of 180 calendar days, or until September 14, 2026, to regain compliance (the “Bid Price Compliance Period”). Pursuant to the Bid Price Notice, if at any time during the Compliance Period the closing bid price of the ordinary shares is at least $1.00 for a minimum of ten consecutive business days, Nasdaq will provide the Company with written confirmation of compliance and such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regain compliance with the Minimum Bid Price Rule during the Bid Price Compliance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the Company would be eligible for the additional 180 calendar day compliance period, if applicable, or that the Nasdaq staff would grant the Company’s request for continued listing. If we are unable to regain compliance with any of these continued listing requirements, our securities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Shareholders pursuant to this prospectus will be sold by the Selling Shareholders for their accounts. We will not receive any of the proceeds from these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MATERIAL U.S. FEDERAL INCOME TAX CONSIDERATIONS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certain material U.S. federal income tax consequences of the ownership and disposition of Ordinary Shares for a U.S. Holder (as defined below). This discussion address only U.S. Holders that acquire Ordinary Shares in this offering. This discussion is for general information purposes only and does not purport to be a complete analysis or listing of all potential U.S. federal income tax consequences that may apply to a U.S. holder as a result of the ownership and disposition of Ordinary Shares.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U.S. Internal Revenue Code of 1986, as amended (the “Code”), the U.S. Treasury Regulations promulgated thereunder (whether final, temporary, or proposed) (the “Treasury Regulations”), published administrative rulings of the IRS, and judicial decisions, all as in effect on the date hereof.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U.S. Holders should consult their own tax advisors regarding such tax consequences in light of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sought any rulings from the IRS with respect to the statements made and the positions or conclusions described in this summary;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Ordinary Shares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firstLine="36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other financial institutions, underwriters, or insurance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brokers or dealers in securities or currencies or holders that are traders in securities who elect to apply a mark-to-market method of accounting;</w:t>
            </w:r>
          </w:p>
        </w:tc>
      </w:tr>
    </w:tbl>
    <w:p>
      <w:pPr>
        <w:pStyle w:val="TextBody"/>
        <w:bidi w:val="0"/>
        <w:spacing w:before="0" w:after="0"/>
        <w:ind w:left="0" w:right="0" w:firstLine="36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 and regulated investment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qualified retirement plans, individual retirement accounts, or other tax-deferred accounts;</w:t>
            </w:r>
          </w:p>
        </w:tc>
      </w:tr>
    </w:tbl>
    <w:p>
      <w:pPr>
        <w:pStyle w:val="TextBody"/>
        <w:bidi w:val="0"/>
        <w:spacing w:before="0" w:after="0"/>
        <w:ind w:left="0" w:right="0" w:firstLine="36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expatriates or former citizens or long-term residents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subchapter S corporations, partnerships or other pass-through entities or investors in such entities;</w:t>
            </w:r>
          </w:p>
        </w:tc>
      </w:tr>
    </w:tbl>
    <w:p>
      <w:pPr>
        <w:pStyle w:val="TextBody"/>
        <w:bidi w:val="0"/>
        <w:spacing w:before="0" w:after="0"/>
        <w:ind w:left="0" w:right="0" w:firstLine="36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holder that is not a U.S. Holder;</w:t>
            </w:r>
          </w:p>
        </w:tc>
      </w:tr>
    </w:tbl>
    <w:p>
      <w:pPr>
        <w:pStyle w:val="TextBody"/>
        <w:bidi w:val="0"/>
        <w:spacing w:before="0" w:after="0"/>
        <w:ind w:left="0" w:right="0" w:firstLine="36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grantor trusts;</w:t>
            </w:r>
          </w:p>
        </w:tc>
      </w:tr>
    </w:tbl>
    <w:p>
      <w:pPr>
        <w:pStyle w:val="TextBody"/>
        <w:bidi w:val="0"/>
        <w:spacing w:before="0" w:after="0"/>
        <w:ind w:left="0" w:right="0" w:firstLine="36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subject to the alternative minimum tax;</w:t>
            </w:r>
          </w:p>
        </w:tc>
      </w:tr>
    </w:tbl>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persons whose “functional currency” is not the U.S. dollar;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received shares of Ordinary Shares through the issuance of restricted stock under an equity incentive plan or through a tax-qualified retirement plan or otherwise as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own (directly or through attribution) 5% or more (by vote or value) of the issued shares of the Company;</w:t>
            </w:r>
          </w:p>
        </w:tc>
      </w:tr>
    </w:tbl>
    <w:p>
      <w:pPr>
        <w:pStyle w:val="TextBody"/>
        <w:bidi w:val="0"/>
        <w:spacing w:before="0" w:after="0"/>
        <w:ind w:left="0" w:right="0" w:firstLine="36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officers or directors;</w:t>
            </w:r>
          </w:p>
        </w:tc>
      </w:tr>
    </w:tbl>
    <w:p>
      <w:pPr>
        <w:pStyle w:val="TextBody"/>
        <w:bidi w:val="0"/>
        <w:spacing w:before="0" w:after="0"/>
        <w:ind w:left="0" w:right="0" w:firstLine="36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Warrants or other rights to acquire Ordinary Shares;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holding Ordinary Shares as a position in a “straddle,” as part of a “synthetic security” or “hedge,” as part of a “conversion transaction,” or other integrated investment or risk reduction transaction;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Ordinary Shares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0" w:right="0" w:firstLine="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Ordinary Shares, the U.S. federal income tax treatment of a partner in such partnership will generally depend on the status of the partner and the activities of the partnership. This discussion does not address the tax consequences to any such partner or partnership. A holder that is a partnership and the partners in such partnership should consult their own tax advisors with regard to the U.S. federal income tax consequences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ORDINARY SHARES. IN ADDITION, THE U.S. FEDERAL INCOME TAX TREATMENT OF THE BENEFICIAL OWNERS OF ORDINARY SHARES MAY BE AFFECTED BY MATTERS NOT DISCUSSED HEREIN AND DEPENDS IN SOME INSTANCES ON DETERMINATIONS OF FACT AND INTERPRETATIONS OF COMPLEX PROVISIONS OF U.S. FEDERAL INCOME TAX LAW FOR WHICH NO CLEAR PRECEDENT OR AUTHORITY MAY BE AVAILABLE. HOLDERS SHOULD CONSULT WITH THEIR TAX ADVISORS REGARDING THE PARTICULAR TAX CONSEQUENCES TO THEM OF THE OWNERSHIP AND DISPOSITION OF ORDINARY SHARES,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PubCo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is generally considered for U.S. federal income tax purposes to be a tax resident in the jurisdiction of its organization and incorporation. Accordingly, under generally applicable U.S. federal income tax rules, PubCo, which is incorporated under the laws of the Cayman Islands,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a U.S. corporation (including through the acquisition of all of the outstanding shares of the U.S. corporation); (ii) the non-U.S. corporation’s “expanded affiliate group” does not have “substantial business activities” in the non-U.S. corporation’s country of organization or incorporation and (iii) after the acquisition, the former shareholders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“ownership test”). The ownership test in clause (iii) above is modified with respect to potential “third-country transactions” such that the ownership test will be met if, after the acquisition, the former shareholders of the acquired U.S. corporation hold at least 60% (by either vote or value) of the shares of the non-U.S. acquiring corporation by reason of holding shares in the U.S. acquired corporation (as modified, the “modified ownership test”). Because the Business Combination was a potential third-country transaction, the potential Section 7874 treatment of PubCo was determined using the modified ownership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7874 of the Code, the first two conditions described above were expected be met with respect to the Business Combination because PubCo acquired indirectly all of the assets of RFAC through the SPAC Merger, and PubCo, including its “expanded affiliate group,” was not expected to satisfy the substantial business activities test upon consummation of the Business Combination. As a result, whether Section 7874 applied to cause PubCo to be treated as a U.S. corporation for U.S. federal income tax purposes following the Business Combination potentially depended on the satisfaction of the modified ownership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terms of the Business Combination, the rules for determining share ownership under Section 7874 of the Code and the Treasury Regulations promulgated thereunder, and certain factual assumptions, the Section 7874 ownership percentage of the RFAC stockholders in PubCo is expected to have been less than 60%. Accordingly, PubCo is not expected to be treated as a U.S. corporation for U.S. federal income tax purposes under Section 7874 of the Code. However, the calculations for determining share ownership for purposes of the ownership test under Section 7874 of the Code are complex, subject to detailed rules and regulations (the application of which is uncertain in various respects and could be impacted by changes to applicable rules and regulations under U.S. federal income tax laws, with possible retroactive effect), and subject to certain factual uncertainties. Furthermore, for purposes of determining the ownership percentage of RFAC stockholders for purposes of Section 7874, among other adjustments required to be taken into account, RFAC stockholders will be deemed to own an amount of PubCo Ordinary Shares in respect to certain redemptions by RFAC prior to the SPAC Merger. Accordingly, given the inherently factual nature of the analysis, neither RFAC nor PubCo has sought a legal opinion from counsel in respect of the potential applicability of Section 7874 to the Business Combination, and there can be no assurance that the IRS would not assert a contrary position to those described above or that such an assertion would not be sustained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were to be treated as a U.S. corporation for U.S. federal income tax purposes, it could be subject to substantial liability for additional U.S. income taxes, and the gross amount of any dividend payments to its non-U.S. investors could be subject to U.S. withholding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assumes that PubCo will not be treated as a U.S. corporation for U.S. federal income tax purposes under Section 7874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 a U.S. Holder generally will be required to include in gross income any distribution of cash or property paid on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received by non-corporate U.S. Holders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The Treasury guidance indicates that shares listed on the Nasdaq will be considered readily tradable on an established securities market in the United States. Although the Ordinary Shares are currently listed on the Nasdaq, there can be no assurance that the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we will not constitute a qualified foreign corporation for purposes of these rules if we are a PFIC for the taxable year in which we pay a dividend or for the preceding taxable year. See the discussion below under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us, calculated by reference to the spot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amount of any distribution made by us on the Ordinary Shares exceeds our current and accumulated earnings and profits for a taxable year (as determined under U.S. federal income tax principles), the distribution will first be treated as a tax-free return of capital, causing a reduction in the adjusted basis of the U.S. Holder’s Ordinary Shares, and to the extent the amount of the distribution exceeds the U.S. Holder’s tax basis, the excess will be taxed as capital gain recognized on a sale or exchange as described below under “— </w:t>
      </w:r>
      <w:r>
        <w:rPr>
          <w:rFonts w:ascii="Times New Roman;Times;Serif" w:hAnsi="Times New Roman;Times;Serif"/>
          <w:b w:val="false"/>
          <w:i/>
          <w:caps w:val="false"/>
          <w:smallCaps w:val="false"/>
          <w:sz w:val="20"/>
        </w:rPr>
        <w:t>Sale, Exchange, Redemption or Other Taxable Disposition of Ordinary Shares</w:t>
      </w:r>
      <w:r>
        <w:rPr>
          <w:rFonts w:ascii="Times New Roman;Times;Serif" w:hAnsi="Times New Roman;Times;Serif"/>
          <w:b w:val="false"/>
          <w:i w:val="false"/>
          <w:caps w:val="false"/>
          <w:smallCaps w:val="false"/>
          <w:sz w:val="20"/>
        </w:rPr>
        <w:t>.” However, we may not calculate earnings and profits in accordance with U.S. federal income tax principles. In such event, a U.S. Holder should expect to generally treat distributions we make as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discussion below under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 a U.S. Holder will generally recognize gain or loss on any sale, exchange, or other taxable disposition of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Preferential tax rates may apply to long-term capital gains of non-corporate U.S. Holders. The deductibility of capital losses is subject to limitations. Any gain or loss recognized by a U.S. Holder on the sale or exchange of Ordinary Shares will generally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14" w:right="0" w:firstLine="360"/>
        <w:jc w:val="both"/>
        <w:rPr>
          <w:caps w:val="false"/>
          <w:smallCaps w:val="false"/>
        </w:rPr>
      </w:pPr>
      <w:r>
        <w:rPr>
          <w:caps w:val="false"/>
          <w:smallCaps w:val="false"/>
        </w:rPr>
        <w:t> </w:t>
      </w:r>
    </w:p>
    <w:p>
      <w:pPr>
        <w:pStyle w:val="TextBody"/>
        <w:bidi w:val="0"/>
        <w:spacing w:before="0" w:after="0"/>
        <w:ind w:left="14"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We do not currently expect to be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is a Cayman Islands company incorporated with limited liability and our affairs are governed by the provisions of its Amended and Restated Memorandum and Articles of Association (the “Company Charter”), as amended and restated from time to time, and by the provisions of applicable Cayman Islands law, including the Companies Act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registration number in the Cayman Islands is 403942. As provided in the Company Charter, subject to Cayman Islands law, we have full power and authority to carry out any object not prohibited by the laws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certain terms of our shares as set out more particularly in the of the Company Charter. Because it is only a summary, it may not contain all the information that is important to you. We urge you to read the applicable provisions of Cayman Islands law and the Company Charter carefully and in their entirety because they describe your rights as a holder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shares of the Company consist of US$50,000 divided into 500,000,000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Company’s shares are deemed to be issued when the name of the shareholder is entered in our register of members. Our register of members is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the Company, or any person who is aggrieved by the omission, inaccuracy or delay, may apply to the Cayman Islands Court for an order that the register be rectified, and the Court may either refuse the application or order the rectification of the register, and may direct the Company to pay all costs of the application and any damages the applicant may have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rights of holders of our Ordinary Shares:</w:t>
      </w:r>
    </w:p>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holder of Ordinary Shares is entitled to one vote per share on all matters to be voted on by shareholders generally, including the appointment of directors;</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our Ordinary Shares are entitled to dividends and other distributions, as may be declared from time to time by our board of directors out of funds legally available for that purpose, if any, and pursuant to the Company Charter, all dividends unclaimed for three years from the date the dividend became due for payment shall be forfeited and shall revert to the Company; and</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our liquidation, dissolution or winding up, the holders of Ordinary Shares will be entitled to share ratably, in the distribution of all of our assets remaining available for distribution after satisfaction of all our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Company Charter will require approval of our shareholders by way of special resolution (which requires a majority of not less than two-thirds).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do not have any preemptive or other rights to subscribe for additional shares pursuant to the Company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certain relevant provisions of Cayman Islands law and the Company Charter in relation to our shareholders’ meetings: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convene meetings of shareholders at such times and in such manner and places within or outside the Cayman Islands as the directors consider necessary or desirable. There is no requirement for the Company to hold annual general meetings;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shareholders holding not less than twenty percent (20%) in par value of the issued shares which as at that date carry the right to vote at general meetings shall have the ability to requisition a general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convening a meeting of shareholders must give not less than ten days’ clear notice of the proposed meeting;</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shareholder may be represented at a meeting of shareholders by a proxy who may speak and vote on behalf of the shareholder;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the Company has only one shareholder in which case that shareholder alone constitutes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of shareholders is passed by a simple majority of such shareholders as, being entitled to do so, vote in person or, where proxies are allowed, by proxy at a general meeting of the Company and where a poll is taken regard shall be had in computing a majority to the number of votes to which each shareholder is entitled by the Company Charter;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special resolution of shareholders is 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does not permit the adoption by the shareholders of resolutions in writing. A shareholder resolution must be passed at a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no general right under the Company Charter to bring business before a general meeting of the Company, save in the case of any shareholders right to requisition a general meeting provided the minimum shareholder requirement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be appointed by an ordinary resolution of the shareholders. Alternatively, the Company board of directors may, by the affirmative vote of a simple majority of the directors present and voting at a board meeting appoint any person as a director to fill a casual vacancy on the board or as an addition to the existing board. The Company directors are not automatically subject to a term of office and hold office until such time as their office is vacated or where they are removed from office by an ordinary resolution of shareholders or otherwise in accordance with the Company Charter. In addition, a director will cease to be a director if, among other things the director (i) becomes bankrupt or makes any arrangement or composition with his or her creditors: (ii) dies or is found to be or becomes of unsound mind within the scope of the Company Charter: (iii) resigns his or her office by notice in writing to the Company; (iv) without special leave of absence from the Company Board, is absent from board meetings for a continuous period of 6 months and the Company directors resolve that his or her office be vacated; (v) by notice in writing signed by not less than three-fourths of all the Company directors in number; or (vi) is removed from office pursuant to any other provision of the Company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are appointed by and serve at the discretion of the board of directors, and may be removed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Company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720" w:right="0" w:hanging="36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the number of votes which have actually been obtained; and</w:t>
            </w:r>
          </w:p>
        </w:tc>
      </w:tr>
    </w:tbl>
    <w:p>
      <w:pPr>
        <w:pStyle w:val="TextBody"/>
        <w:bidi w:val="0"/>
        <w:spacing w:before="0" w:after="0"/>
        <w:ind w:left="720" w:right="0" w:hanging="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not complete and is subject to, and is qualified in its entirety by reference to, the provisions of the Warrant Agreement, dated as of March 23, 2022, by and between RFAC and Continental Stock Transfer &amp; Trust Company (the “2022 Warrant Agreement”), which was filed as Exhibit 4.5 to the registration statement (333-261765).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the Company, RFAC and Continental Stock Transfer &amp; Trust Company entered into the Assignment, Assumption and Amendment Agreement (the “Amended Warrant Agreement”), pursuant to which, among other things, effective as of the Effective Time, the Company assumed the obligations of RFAC under the 2022 Warrant Agreement. Pursuant to the Business Combination Agreement and the Amended Warrant Agreement, each issued and outstanding warrant of RFAC sold to the public and to the Sponsor and EarlyBirdCapital in a private placement in connection with RFAC’s initial public offering was exchanged for a corresponding warrant exercisable for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any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Ordinary Shares issuable upon exercise of the Warrants on a Registration Statement on Form S-1 (File No. 333-261765) because the Warrants will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filed a registration statement Form F-1 (333-286361) on April 3, 2025 for the ordinary shares issuable upon exercise of the these Warrants, which was declared effective by the SEC on April 7, 2025. On May 13, 2026, we filed a post-effective amendment to this registration statement which was declared effective on May 18, 2026. We will use our best efforts to maintain a current prospectus relating to the Ordinary Shares issuable upon exercise of the Warrants until the expiration of the Warrants in accordance with the provisions of the warrant agreement.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 for cash:</w:t>
      </w:r>
    </w:p>
    <w:p>
      <w:pPr>
        <w:pStyle w:val="TextBody"/>
        <w:bidi w:val="0"/>
        <w:spacing w:before="0" w:after="0"/>
        <w:ind w:left="720" w:right="0" w:hanging="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170"/>
        <w:gridCol w:w="2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not less than 30 days’ prior written notice of redemption (the “30-day redemption period”) to each warrant 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for cash, we may exercise our redemption right even if we are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Ordinary Shares issuable upon exercise of the Private Placement Warrants) are not transferable, assignable or salable until 30 days after the completion of our Business Combination. The Private Placement Warrants have terms and provisions that are identical to those of the Warrants being sold as part of the units in RFAC’s Initial Public Offering, including as to exercise price, exercisability and exercise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2025, we registered the Ordinary Shares issuable upon exercise of the these Warrants on a Registration Statement on Form F-1 (File No. 333-286361) which was declared effective by the SEC on April 7, 2025. On May 13, 2026, we filed a post-effective amendment to this registration statement which was declared effective on May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2026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Amendment, Waiver and Exchange Agreement (the “Exchange Agreement”) between the Company and ATW Partners (the “Holder”), dated April 28, 2026 (the “Exchange Date”), the Company issued to the Investor a warrant to purchase 1,125,000 ordinary shares at an initial exercise price of $8.00 per share (the “April 2026 Warrant”). The April 2026 Warrant has a three-year term and is exercisable, in whole or in part, at the option of the Holder. The exercise price of the April 2026 Warrant is subject to full-ratchet anti-dilution adjustments and other price protections. If the Company issues or sells or enters into any agreement to issue or sell, “Variable Price Securities” (defined in the April 2026 Warrant) after the Exchange Date that are issuable pursuant to such agreement or convertible into or exchangeable or exercisable for Ordinary Shares at a price which varies or may vary with the market price of the Ordinary Shares, the Holder shall have the right, but not the obligation, in its sole discretion to substitute the Variable Price for the Exercise Price upon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and from time to time on or after the Exchange Date there occurs any share split, share dividend, share combination recapitalization or other similar transaction involving the Ordinary Shares (each, a “Share Combination Event”, and such date thereof, the “Share Combination Event Date”) and the Event Market Price is less than the Exercise Price then in effect, then on the sixteenth (16th) Trading Day immediately following such Share Combination Event, the Exercise Price then in effect on such sixteenth (16th) Trading Day shall be reduced (but in no event increased) to the Event Market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offer and resell any or all of the Resale Shares set forth below pursuant to this prospectus. Our registration of these Ordinary Shares does not necessarily mean that the Selling Shareholders will sell all or any of such shares. Except for the ownership of the Company’s ordinary shares, the Selling Shareholders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to our knowledge, certain information provided by or on behalf of the Selling Shareholders on or about September 2, 2026, concerning Resale Shares that may be offered from time to time by the Selling Shareholders with this prospectus. In the table below, the percentage of shares beneficially owned is calculated based on 128,007,703 Ordinary Shares outstanding as of September 2, 2026. Beneficial ownership is determined in accordance with applicable rules and regulations of the SEC.</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2"/>
        <w:gridCol w:w="60"/>
        <w:gridCol w:w="87"/>
        <w:gridCol w:w="1430"/>
        <w:gridCol w:w="87"/>
        <w:gridCol w:w="87"/>
        <w:gridCol w:w="138"/>
        <w:gridCol w:w="2252"/>
        <w:gridCol w:w="60"/>
        <w:gridCol w:w="60"/>
        <w:gridCol w:w="103"/>
        <w:gridCol w:w="1698"/>
        <w:gridCol w:w="103"/>
        <w:gridCol w:w="103"/>
        <w:gridCol w:w="158"/>
        <w:gridCol w:w="1122"/>
        <w:gridCol w:w="235"/>
      </w:tblGrid>
      <w:tr>
        <w:trPr/>
        <w:tc>
          <w:tcPr>
            <w:tcW w:w="24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 held before the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 held after the Offering</w:t>
            </w:r>
          </w:p>
        </w:tc>
        <w:tc>
          <w:tcPr>
            <w:tcW w:w="235" w:type="dxa"/>
            <w:tcBorders/>
            <w:vAlign w:val="center"/>
          </w:tcPr>
          <w:p>
            <w:pPr>
              <w:pStyle w:val="TableContents"/>
              <w:bidi w:val="0"/>
              <w:spacing w:before="0" w:after="283"/>
              <w:jc w:val="center"/>
              <w:rPr/>
            </w:pPr>
            <w:r>
              <w:rPr/>
              <w:t> </w:t>
            </w:r>
          </w:p>
        </w:tc>
      </w:tr>
      <w:tr>
        <w:trPr/>
        <w:tc>
          <w:tcPr>
            <w:tcW w:w="2422" w:type="dxa"/>
            <w:tcBorders>
              <w:bottom w:val="single" w:sz="12" w:space="0" w:color="000000"/>
            </w:tcBorders>
            <w:tcMar>
              <w:bottom w:w="28" w:type="dxa"/>
            </w:tcMar>
            <w:vAlign w:val="center"/>
          </w:tcPr>
          <w:p>
            <w:pPr>
              <w:pStyle w:val="TableContents"/>
              <w:bidi w:val="0"/>
              <w:spacing w:before="0" w:after="283"/>
              <w:jc w:val="left"/>
              <w:rPr>
                <w:b/>
              </w:rPr>
            </w:pPr>
            <w:r>
              <w:rPr>
                <w:b/>
              </w:rPr>
              <w:t>Name of selling shareholders</w:t>
            </w:r>
          </w:p>
        </w:tc>
        <w:tc>
          <w:tcPr>
            <w:tcW w:w="60" w:type="dxa"/>
            <w:tcBorders/>
            <w:vAlign w:val="center"/>
          </w:tcPr>
          <w:p>
            <w:pPr>
              <w:pStyle w:val="TableContents"/>
              <w:bidi w:val="0"/>
              <w:spacing w:before="0" w:after="283"/>
              <w:jc w:val="center"/>
              <w:rPr/>
            </w:pPr>
            <w:r>
              <w:rPr/>
              <w:t> </w:t>
            </w:r>
          </w:p>
        </w:tc>
        <w:tc>
          <w:tcPr>
            <w:tcW w:w="15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87"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center"/>
              <w:rPr/>
            </w:pPr>
            <w:r>
              <w:rPr/>
              <w:t> </w:t>
            </w:r>
          </w:p>
        </w:tc>
        <w:tc>
          <w:tcPr>
            <w:tcW w:w="2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 Shares to be Sold</w:t>
              <w:br/>
              <w:t>Pursuant to this</w:t>
              <w:br/>
              <w:t>Prospectus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Ordinary</w:t>
              <w:br/>
              <w:t xml:space="preserve">Shares </w:t>
            </w:r>
            <w:r>
              <w:rPr>
                <w:rFonts w:ascii="Times New Roman;Times;Serif" w:hAnsi="Times New Roman;Times;Serif"/>
                <w:b/>
                <w:position w:val="7"/>
                <w:sz w:val="16"/>
                <w:sz w:val="20"/>
              </w:rPr>
              <w:t>(1)</w:t>
            </w:r>
          </w:p>
        </w:tc>
        <w:tc>
          <w:tcPr>
            <w:tcW w:w="235" w:type="dxa"/>
            <w:tcBorders/>
            <w:vAlign w:val="center"/>
          </w:tcPr>
          <w:p>
            <w:pPr>
              <w:pStyle w:val="TableContents"/>
              <w:bidi w:val="0"/>
              <w:spacing w:before="0" w:after="283"/>
              <w:jc w:val="center"/>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Kouichi Ito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144,444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111,111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MBK Co., Ltd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57,777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13,333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44,444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Naruhito Matsumuro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57,777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13,333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44,444</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Hanroku Capital Co Ltd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86,667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66,667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Japan Investment Inc.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577,779</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133,334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444,445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Satoshi Sakurai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288,889</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222,222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Kunihiro Mita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86,667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66,667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Mita Global Advisory Pte. Ltd. </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144,444</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33,333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111,111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Chen Junyao </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292,500</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67,500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225,000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Goh Choo Kian &amp; Teo Poh Choo </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866,666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666,666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Joshua Guok Chin Tien </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1,444,444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1,111,111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Guok Foundation Ltd.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1,444,444</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333,333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1,111,111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Chin Kim Lung </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292,500</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67,500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225,000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Lyndon Leow Zhan Wei </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2,888,888</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666,666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2,222,222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35" w:type="dxa"/>
            <w:tcBorders/>
            <w:shd w:fill="FFFFFF" w:val="clear"/>
            <w:vAlign w:val="center"/>
          </w:tcPr>
          <w:p>
            <w:pPr>
              <w:pStyle w:val="TableContents"/>
              <w:bidi w:val="0"/>
              <w:spacing w:before="0" w:after="283"/>
              <w:jc w:val="left"/>
              <w:rPr/>
            </w:pPr>
            <w:r>
              <w:rPr/>
              <w:t>%</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DH International Strategies Fund VCC </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866,666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666,666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pPr>
            <w:r>
              <w:rPr/>
              <w:t>Total shares held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9,540,552</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2,201,665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7,338,887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5.7</w:t>
            </w:r>
          </w:p>
        </w:tc>
        <w:tc>
          <w:tcPr>
            <w:tcW w:w="235"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8095" w:type="dxa"/>
        <w:jc w:val="left"/>
        <w:tblInd w:w="0" w:type="dxa"/>
        <w:tblLayout w:type="fixed"/>
        <w:tblCellMar>
          <w:top w:w="0" w:type="dxa"/>
          <w:left w:w="0" w:type="dxa"/>
          <w:bottom w:w="0" w:type="dxa"/>
          <w:right w:w="0" w:type="dxa"/>
        </w:tblCellMar>
      </w:tblPr>
      <w:tblGrid>
        <w:gridCol w:w="155"/>
        <w:gridCol w:w="7940"/>
      </w:tblGrid>
      <w:tr>
        <w:trPr/>
        <w:tc>
          <w:tcPr>
            <w:tcW w:w="155"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Represents beneficial ownership of less than 1%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of the Resale Shares offered by the selling shareholder pursuant to this prospectus.</w:t>
            </w:r>
          </w:p>
        </w:tc>
      </w:tr>
      <w:tr>
        <w:trPr/>
        <w:tc>
          <w:tcPr>
            <w:tcW w:w="259" w:type="dxa"/>
            <w:tcBorders/>
            <w:vAlign w:val="center"/>
          </w:tcPr>
          <w:p>
            <w:pPr>
              <w:pStyle w:val="TableContents"/>
              <w:bidi w:val="0"/>
              <w:spacing w:before="0" w:after="283"/>
              <w:jc w:val="both"/>
              <w:rPr/>
            </w:pPr>
            <w:r>
              <w:rPr/>
              <w:t> </w:t>
            </w:r>
          </w:p>
        </w:tc>
        <w:tc>
          <w:tcPr>
            <w:tcW w:w="9946" w:type="dxa"/>
            <w:tcBorders/>
            <w:vAlign w:val="center"/>
          </w:tcPr>
          <w:p>
            <w:pPr>
              <w:pStyle w:val="TableContents"/>
              <w:bidi w:val="0"/>
              <w:spacing w:before="0" w:after="283"/>
              <w:jc w:val="both"/>
              <w:rPr/>
            </w:pPr>
            <w:r>
              <w:rPr/>
              <w:t> </w:t>
            </w:r>
          </w:p>
        </w:tc>
      </w:tr>
      <w:tr>
        <w:trPr/>
        <w:tc>
          <w:tcPr>
            <w:tcW w:w="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Kouichi Ito is c/o Mita Securities Company Limited, 3-11, Kabutocho, Nihonbashi Chuo-ku, Tokyo, Japan.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MBK Co., Ltd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Naruhito Matsumuro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Hanroku Capital Co Ltd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Japan Investment Inc.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Satoshi Sakurai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Kunihiro Mita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Mita Global Advisory Pte. Ltd.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Mr. Junyao Chen is 8 Suffolk Walk Viva Condominium #19-09 Singapore 307465.</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Go Choo Kian and Teo Pho Choo is 2a Bukit Sedap Road, Singapore, 279930.</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Mr. Joshua Guok Chin Tien is 4 Jalan Tenang, Singapore 277938.</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Guok Foundation Ltd is a limited liability corporation incorporated under law of Singapore and wholly owned by Mr. Joshua Guok. Mr. Joshua Guok has sole voting and dispositive power over the ordinary shares described herein. The address of Guok Foundation Ltd. Guok Foundation Ltd is 8 Burn Road #04-04, Trivex, Singapore 369977.</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Lyndon Leow Zhan Wei is 5 Toh Crescent, Singapore 507918.</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Mr. Chin Kim Lung is 79 Cardiff Grove S558945.</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DH International Strategies Fund VCC is a corporation incorporated under law of Singapore and wholly owned by Mr. Hao Bo. Mr. Hao Bo has sole voting and dispositive power over the ordinary shares described herein. The address of DH International Strategies Fund VCC is 2 Shenton Way #17-02 SGX Centre 1, Singapore, 068804.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held by the Selling Shareholders to permit the resale of these Ordinary Shares by the Selling Shareholders from time to time after the date of this prospectus. We will not receive any of the proceeds from the sale by the Selling Shareholders of the Ordinary Shares. We will bear all fees and expenses incident to our obligation to register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held by them and offered hereby from time to time directly or through one or more underwriters, broker-dealers or agents. If the Ordinary Shares are sold through underwriters or broker-dealers, the Selling Shareholders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bl>
    <w:p>
      <w:pPr>
        <w:pStyle w:val="TextBody"/>
        <w:bidi w:val="0"/>
        <w:spacing w:before="0" w:after="0"/>
        <w:ind w:left="1080" w:right="0" w:hanging="36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whether such options are listed on an options exchange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1080" w:right="0" w:hanging="36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5"/>
        <w:gridCol w:w="200"/>
        <w:gridCol w:w="6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1080" w:right="0" w:hanging="36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105"/>
        <w:gridCol w:w="200"/>
        <w:gridCol w:w="7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made after the date the Registration Statement is declared effective by the SEC;</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a selling security holder to sell a specified number of such shares at a stipulated price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bl>
    <w:p>
      <w:pPr>
        <w:pStyle w:val="TextBody"/>
        <w:bidi w:val="0"/>
        <w:spacing w:before="0" w:after="0"/>
        <w:ind w:left="1080" w:right="0" w:hanging="36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05"/>
        <w:gridCol w:w="200"/>
        <w:gridCol w:w="4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ordinary shares under Rule 144 promulgated under the Securities Act of 1933, as amended, if available, rather than under this prospectus. In addition, the Selling Shareholders may transfer the Ordinary Shares by other means not described in this prospectus. If the Selling Shareholders effect such transactions by selling ordinary shares to or through underwriters, broker-dealers or agents, such underwriters, broker-dealers or agents may receive commissions in the form of discounts, concessions or commissions from the Selling Shareholders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Shareholders may enter into hedging transactions with broker-dealers, which may in turn engage in short sales of the Ordinary Shares in the course of hedging in positions they assume. The Selling Shareholders may also sell Ordinary Shares short and deliver Ordinary Shares covered by this prospectus to close out short positions and to return borrowed shares in connection with such short sales. The Selling Shareholders may also loan or pledge Ordinary Shares to broker-dealers that in turn may sell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Ordinary Shares in other circumstances in which case the transferees, donees, pledgees or other successors in interest will be the selling beneficial owners for purposes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Shareholders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Shareholders will sell any or all of the Ordinary Shares registered pursuant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Shareholders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ordinary shares, including, without limitation, Securities and Exchange Commission filing fees and expenses of compliance with state securities or “blue sky” laws; provided, however, a Selling Shareholders will pay all underwriting discounts and selling commissions, if any. We may be indemnified by the Selling Shareholders against civil liabilities, including liabilities under the Securities Act that may arise from any written information furnished to us by the Selling Shareholders specifically for use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Ordinary Shares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EXPENSES RELATING TO THIS OFFERING</w:t>
      </w:r>
    </w:p>
    <w:p>
      <w:pPr>
        <w:pStyle w:val="TextBody"/>
        <w:bidi w:val="0"/>
        <w:spacing w:before="0" w:after="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following expenses in connection with the offer and resale of the Ordinary Shares by the Selling Shareholder. With the exception of the SEC registration fee, all amounts are estimates.</w:t>
      </w:r>
    </w:p>
    <w:p>
      <w:pPr>
        <w:pStyle w:val="TextBody"/>
        <w:bidi w:val="0"/>
        <w:spacing w:before="0" w:after="0"/>
        <w:ind w:left="0" w:right="0" w:firstLine="720"/>
        <w:jc w:val="both"/>
        <w:rPr>
          <w:caps w:val="false"/>
          <w:smallCaps w:val="false"/>
        </w:rPr>
      </w:pPr>
      <w:r>
        <w:rPr>
          <w:caps w:val="false"/>
          <w:smallCaps w:val="false"/>
        </w:rPr>
        <w:t> </w:t>
      </w:r>
    </w:p>
    <w:tbl>
      <w:tblPr>
        <w:tblW w:w="5005" w:type="dxa"/>
        <w:jc w:val="left"/>
        <w:tblInd w:w="0" w:type="dxa"/>
        <w:tblLayout w:type="fixed"/>
        <w:tblCellMar>
          <w:top w:w="0" w:type="dxa"/>
          <w:left w:w="0" w:type="dxa"/>
          <w:bottom w:w="28" w:type="dxa"/>
          <w:right w:w="0" w:type="dxa"/>
        </w:tblCellMar>
      </w:tblPr>
      <w:tblGrid>
        <w:gridCol w:w="4010"/>
        <w:gridCol w:w="60"/>
        <w:gridCol w:w="146"/>
        <w:gridCol w:w="714"/>
        <w:gridCol w:w="75"/>
      </w:tblGrid>
      <w:tr>
        <w:trPr/>
        <w:tc>
          <w:tcPr>
            <w:tcW w:w="4010" w:type="dxa"/>
            <w:tcBorders>
              <w:bottom w:val="single" w:sz="12" w:space="0" w:color="000000"/>
            </w:tcBorders>
            <w:vAlign w:val="center"/>
          </w:tcPr>
          <w:p>
            <w:pPr>
              <w:pStyle w:val="TableContents"/>
              <w:bidi w:val="0"/>
              <w:spacing w:before="0" w:after="283"/>
              <w:jc w:val="left"/>
              <w:rPr>
                <w:b/>
              </w:rPr>
            </w:pPr>
            <w:r>
              <w:rPr>
                <w:b/>
              </w:rPr>
              <w:t>Expenses</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SEC registration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180.97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pPr>
            <w:r>
              <w:rPr/>
              <w:t>Legal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Accountants’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pPr>
            <w:r>
              <w:rPr/>
              <w:t>Transfer agent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Printing expenses and miscellaneous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714"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FFFFFF" w:val="clear"/>
            <w:vAlign w:val="center"/>
          </w:tcPr>
          <w:p>
            <w:pPr>
              <w:pStyle w:val="TableContents"/>
              <w:bidi w:val="0"/>
              <w:spacing w:before="0" w:after="283"/>
              <w:jc w:val="left"/>
              <w:rPr/>
            </w:pPr>
            <w:r>
              <w:rPr/>
              <w:t>$</w:t>
            </w:r>
          </w:p>
        </w:tc>
        <w:tc>
          <w:tcPr>
            <w:tcW w:w="714" w:type="dxa"/>
            <w:tcBorders>
              <w:bottom w:val="double" w:sz="10" w:space="0" w:color="000000"/>
            </w:tcBorders>
            <w:shd w:fill="FFFFFF" w:val="clear"/>
            <w:vAlign w:val="center"/>
          </w:tcPr>
          <w:p>
            <w:pPr>
              <w:pStyle w:val="TableContents"/>
              <w:bidi w:val="0"/>
              <w:spacing w:before="0" w:after="283"/>
              <w:jc w:val="right"/>
              <w:rPr/>
            </w:pPr>
            <w:r>
              <w:rPr/>
              <w:t>180.97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ind w:left="720" w:right="0" w:hanging="72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25"/>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cannot be defined at this time.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all expenses of registration incurred in connection with the resale of Ordinary Shares under this prospectus, except for any underwriting discounts, if any, selling commissions and stock transfer taxes applicable to the sale of Ordinary Shares by the Selling Shareholder, all of which are to be paid by the Selling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U.S. law will be passed upon for the Company by Loeb &amp; Loeb LLP. Certain Cayman Islands legal matters will be passed upon for the Company by Carey Olsen Singapore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included in our Annual Report on Form 20-F for the year ended March 31, 2026,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GCL Global Holdings Ltd as of March 31, 2025 and 2024, as incorporated by reference in this prospectus and elsewhere in the registration statement, have been so incorporated by reference in reliance on the report of Marcum Asia CPAs LLP, an independent registered public accounting firm,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an Internet website at </w:t>
      </w:r>
      <w:r>
        <w:rPr>
          <w:rFonts w:ascii="Times New Roman;Times;Serif" w:hAnsi="Times New Roman;Times;Serif"/>
          <w:b w:val="false"/>
          <w:i/>
          <w:caps w:val="false"/>
          <w:smallCaps w:val="false"/>
          <w:sz w:val="20"/>
        </w:rPr>
        <w:t>https://www.gclglobalholdings.com</w:t>
      </w:r>
      <w:r>
        <w:rPr>
          <w:rFonts w:ascii="Times New Roman;Times;Serif" w:hAnsi="Times New Roman;Times;Serif"/>
          <w:b w:val="false"/>
          <w:i w:val="false"/>
          <w:caps w:val="false"/>
          <w:smallCaps w:val="false"/>
          <w:sz w:val="20"/>
        </w:rPr>
        <w:t>. Through our website, we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ENFORCEABILITY OF CIVIL LIABILITIES UNDER U.S.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Cayman Islands in order to enjoy the following benefits:</w:t>
      </w:r>
    </w:p>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00"/>
        <w:gridCol w:w="2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05"/>
        <w:gridCol w:w="200"/>
        <w:gridCol w:w="23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5"/>
        <w:gridCol w:w="200"/>
        <w:gridCol w:w="195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and</w:t>
            </w:r>
          </w:p>
        </w:tc>
      </w:tr>
    </w:tbl>
    <w:p>
      <w:pPr>
        <w:pStyle w:val="TextBody"/>
        <w:bidi w:val="0"/>
        <w:spacing w:before="0" w:after="0"/>
        <w:ind w:left="960" w:right="0" w:hanging="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Company’s operations are conducted outside the United States, and a majority of our Company’s assets are located outside the United States. A majority of our Company’s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our Company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has appointed Cogency Global Inc. as its agent upon whom process may be served in any action brought against it under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Carey Olsen Singapore LLP, our Company’s counsel as to Cayman Islands law, have advised our Company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will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w:t>
      </w:r>
      <w:r>
        <w:rPr>
          <w:rFonts w:ascii="Times New Roman;Times;Serif" w:hAnsi="Times New Roman;Times;Serif"/>
          <w:b w:val="false"/>
          <w:i/>
          <w:caps w:val="false"/>
          <w:smallCaps w:val="false"/>
          <w:sz w:val="20"/>
        </w:rPr>
        <w:t>res judicata</w:t>
      </w:r>
      <w:r>
        <w:rPr>
          <w:rFonts w:ascii="Times New Roman;Times;Serif" w:hAnsi="Times New Roman;Times;Serif"/>
          <w:b w:val="false"/>
          <w:i w:val="false"/>
          <w:caps w:val="false"/>
          <w:smallCaps w:val="false"/>
          <w:sz w:val="20"/>
        </w:rPr>
        <w:t xml:space="preserve"> by the Foreign Court. A debt claim on a foreign judgment must be brought within six years of the date of the judgment, and arrears of interest on a judgment debt cannot be recovered after six years from the date on which the interest was due. The Cayman Islands courts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Cayman Islands court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judgment creditor is responsible for enforcing the order or judgment in all civil claims under Singapore law, and the Singapore Courts will not be responsible for the commencement of enforcement proceedings. A judgment creditor may enforce an order or judgment through writ of possession, writ of seizure and sale, writ of delivery and garnishee proceedings. If a party subject to a judgment does not comply with a court order, the Singapore court may commence committal proceedings, through which the court can determine penalties against such party. Where a foreign judgment is obtained in a court of law outside of Singapore, the party seeking enforcement may have to register the foreign judgment with the High Court of Singapore before it can be enforced in Singapore.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registration of a foreign judgment, it is noted that Singapore does not have treaties providing for the reciprocal recognition and enforcement of judgments of courts with United States. Further, it is unclear if extradition treaties currently in effect between the United States and Singapore would permit enforcement of criminal penalties of U.S. federal securities laws. In this case, the judgment creditor may be required to commence an action for the recovery of judgment debt in the Singapore courts under common laws to recognize and enforce the judgment.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matter, the interpretation and enforcement of laws and regulations in Singapore involve a certain degree of uncertainty. As local administrative and court authorities and in certain cases, independent organizations, have significant discretion in interpreting and implementing statutory provisions and contractual terms, it may be difficult to evaluate the outcome of administrative and court proceedings and the level of legal protection that our Company and its subsidiaries may enjoy in the locations that they operate in. Moreover, the local courts may have broad discretion to reject enforcement of foreign awards. These uncertainties may affect our Company and its subsidiaries’ judgment on the relevance of legal requirements and their ability to enforce contractual rights or tort claims. In addition, the regulatory uncertainties may be exploited through unmerited or frivolous legal actions or threats in attempts to exact payments or benefits from our Company and its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w:t>
      </w:r>
    </w:p>
    <w:p>
      <w:pPr>
        <w:pStyle w:val="TextBody"/>
        <w:bidi w:val="0"/>
        <w:spacing w:before="0" w:after="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 xml:space="preserve">Annual Report on </w:t>
            </w:r>
            <w:hyperlink r:id="rId3">
              <w:r>
                <w:rPr>
                  <w:rStyle w:val="InternetLink"/>
                </w:rPr>
                <w:t>Form 20-F</w:t>
              </w:r>
            </w:hyperlink>
            <w:r>
              <w:rPr/>
              <w:t xml:space="preserve"> for the fiscal year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Ordinary Shares contained in our Registration Statement on </w:t>
            </w:r>
            <w:hyperlink r:id="rId4">
              <w:r>
                <w:rPr>
                  <w:rStyle w:val="InternetLink"/>
                </w:rPr>
                <w:t>Form 8-A</w:t>
              </w:r>
            </w:hyperlink>
            <w:r>
              <w:rPr/>
              <w:t xml:space="preserve"> filed on February 13, 2025, including any amendments or reports filed for the purpose of updating the description;</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 xml:space="preserve">The </w:t>
            </w:r>
            <w:hyperlink r:id="rId5">
              <w:r>
                <w:rPr>
                  <w:rStyle w:val="InternetLink"/>
                </w:rPr>
                <w:t>Form 6-K</w:t>
              </w:r>
            </w:hyperlink>
            <w:r>
              <w:rPr/>
              <w:t xml:space="preserve"> furnished to the SEC on August 28,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future reports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Chief Financial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Avenue #02-01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Cool Lifestyle Hub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80427330</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2002045/000121390026084021/ea0297613-20f_gclglobal.htm" TargetMode="External"/><Relationship Id="rId4" Type="http://schemas.openxmlformats.org/officeDocument/2006/relationships/hyperlink" Target="http://www.sec.gov/Archives/edgar/data/2002045/000110465925012646/tm256412d1_8a12b.htm" TargetMode="External"/><Relationship Id="rId5" Type="http://schemas.openxmlformats.org/officeDocument/2006/relationships/hyperlink" Target="https://www.sec.gov/Archives/edgar/data/2002045/000121390026094639/ea0303805-6k_gcl.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17961</Words>
  <Characters>95433</Characters>
  <CharactersWithSpaces>113523</CharactersWithSpaces>
  <Paragraphs>1398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