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 no. 333-286361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83,456,793 ORDINARY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16,500,000 ORDINARY SHARES UNDERLYING WARRANTS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GCL GLOBAL HOLDINGS LTD</w:t>
      </w:r>
    </w:p>
    <w:p>
      <w:pPr>
        <w:spacing w:after="0" w:line="22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relates to, among other things, the issuance from time to time of up to 16,500,000 Ordinary Shares (as defined below) of GCL Global Holdings Ltd, a Cayman Islands exempted company (the “Company,” “PubCo,” or “we”), which consist of (i) up to 11,500,000 Ordinary Shares issuable upon the exercise of 11,500,000 Warrants (as defined below), which were originally included in the units sold at a price of $10.00 per unit in the initial public offering of RFAC (as defined below), with each Warrant exercisable for Ordinary Share at $11.50 per share, and (ii) up to 5,000,000 Ordinary Shares issuable upon the exercise of 5,000,000 Warrants, which were originally issued concurrently with the initial public offering of RFAC in a private placement to the Sponsor (as defined below) and EBC (as defined below) at a price of $1.00 per warrant, with each Warrant exercisable for one Ordinary Share at $11.50 per share.</w:t>
      </w:r>
    </w:p>
    <w:p>
      <w:pPr>
        <w:spacing w:after="0" w:line="189"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shareholders named in this prospectus or their permitted transferees (together, the “Selling Shareholders”) of (a) up to 83,456,793 Ordinary Shares, which consist of (i) 80,581,793 Ordinary Shares issued to Epicsoft Ventures (as defined below) in connection with the Business Combination (as defined below) at an implied purchase price of $10.00 per share; and (ii) 2,875,000 Ordinary Shares issued to the Sponsor, which were originally purchased by the Sponsor at approximately $0.009 per share; (b) up to 4,450,500 Ordinary Shares issuable upon the exercise of 4,450,500 Warrants, which were originally issued concurrently with the initial public offering of RFAC in a private placement to the Sponsor at a price of $1.00 per warrant, with each Warrant exercisable for one Ordinary Share at $11.50 per share; and (c) up to 549,500 Ordinary Shares issuable upon the exercise of 549,500 Warrants, which were originally issued concurrently with the initial public offering of RFAC in a private placement to EBC at a price of $1.00 per warrant, with each Warrant exercisable for one Ordinary Share at $11.50 per share. See “</w:t>
      </w: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for the details of these securities.</w:t>
      </w:r>
    </w:p>
    <w:p>
      <w:pPr>
        <w:spacing w:after="0" w:line="188"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expiration of a lock-up period which is twelve months after the closing of the Business Combination, and for so long as the effective registration statement of which this prospectus forms a part is available for use, Epicsoft Ventures and Sponsor, collectively the beneficial owners of 83,456,793 Ordinary Shares, constituting approximately 65.2% of our outstanding Ordinary Shares as of the date of this prospectus, can sell under this prospectus (assuming all Warrants are exercised in full), up to 87,907,293 Ordinary Shares constituting approximately 68.7% of the issued and outstanding Ordinary Shares as of the date of this prospectus. Given the substantial number of Ordinary Shares being registered for potential resale by Selling Shareholders pursuant to this prospectus, the sale of shares by the Selling Shareholders, or the perception in the market that the holders of a large number of our Ordinary Shares intend to sell their shares, could increase the volatility of, or result in a significant decline in, the public trading price of the Ordinary Shares.</w:t>
      </w:r>
    </w:p>
    <w:p>
      <w:pPr>
        <w:spacing w:after="0" w:line="189" w:lineRule="exact"/>
        <w:rPr>
          <w:sz w:val="24"/>
          <w:szCs w:val="24"/>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Because the prices at which certain Selling Shareholders acquired the securities that they may sell pursuant to this prospectus may be lower than that of our public shareholders, certain Selling Shareholders may experience a positive rate of return on the securities that they sell pursuant to this prospectus and be incentivized to sell such shares, when our public shareholders may not experience a similar rate of return. Certain securities being registered for sale pursuant to this prospectus were purchased by certain Selling Shareholders at prices below the current market price of our Ordinary Shares. Based on the closing price of our Ordinary Shares of $0.45 as of May 15, 2026, the Sponsor (with respect to the Sponsor Founder shares (as defined below)) may experience potential profit of up to $0.441 per share, or an aggregate amount of profit of up to approximately $1.27 million. Accordingly, such Selling Shareholders may have an incentive to sell their securities even if the trading price is lower than the price at which our public shareholders purchased their securities. In connection with the initial public offering of RFAC, RFAC’s initial public shareholders acquired RFAC Public Units (as defined below) at a price of $10.00 per unit, each of which comprises one share of RFAC Common Stock, one RFAC Warrant and one RFAC Right, and trading price of our Ordinary Shares have fluctuated, and will continue to fluctuate, following the closing of the Business Combination. Epicsoft Ventures (with respect to the shares issued to Epicsoft Ventures in connection with the Business Combination) may experience potential profit if the price of the Company’s Ordinary Shares exceeds $10.00 per share. As a result, our public shareholders may not be able to achieve the same returns as Epicsoft Ventures, the Sponsor or EBC, or even any positive return at all, on the Ordinary Shares if they sell our Ordinary Shares in the market at the then-prevailing market prices.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Sales of a substantial number of our securities in the public market by our existing shareholders could cause the price of our Ordinary Shares and Warrants to fall, and certain Selling Shareholders can earn a positive rate of return on their investment, even if other shareholders experience a negative rate of return</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Shareholders will issue, offer or sell, as applicable, any of the securities. The Selling Shareholders may offer, sell or distribute all or part of the securities registered hereby for resale from time to time through public or private transactions at either prevailing market prices or at privately negotiated prices. The securities are being registered to permit the Selling Shareholders to sell the securities from time to time, in amounts, at prices and on terms determined at the time the Selling Shareholders offer and sell the securities covered by this prospectus. The Selling Shareholders may offer and sell the securities covered by this prospectus through ordinary brokerage transactions, directly to market makers of our securities or through any other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herein. In connection with any sales of the securities offered hereunder, the Selling Shareholders, any underwriters, agents, brokers or dealers participating in such sales may be deemed to be “underwriters” within the meaning of the Securities Act of 1933, as amended (the “Securities Act”).</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pay certain fees in connection with the registration of the securities and will not receive proceeds from the sale of the securities by the Selling Shareholders, as described in more detail in the section titled “Use of Proceeds” appearing elsewhere in this prospectus, except with respect to amounts received by the Company upon exercise of the Warrants to the extent such Warrants are exercised for cash. The exercise price of our Warrants is $11.50 for one Ordinary Share. The likelihood that Warrant holders will exercise their Warrants, and therefore the amount of cash proceeds that we would receive, is dependent upon the trading price of our Ordinary Shares. If the trading price for our Ordinary Shares is less than $11.50 per share, we believe holders of our Warrants will be unlikely to exercise their Warrants.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May 15, 2026, the closing price of our Ordinary Shares and Warrants was $0.45 and $0.02, respectively. Because the trading price of our ordinary shares is currently below the exercise price, we believe that holders of the Warrants are currently unlikely to exercise their Warrants.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total number of Ordinary Shares issued and outstanding as of the date of this prospectus are 130,135,432 and 128,008,703 Ordinary Shares. Each Ordinary Share is entitled to one vote. As of the date of this prospectus, Jacky Choo See Wee, our chairman of the board of directors, is able to exercise voting rights with respect to over 50% of the voting power of our issued and outstanding shares through his beneficial ownership of 80,581,793 Ordinary Shares. We are a “controlled company” as defined under the Corporate Governance Rules of Nasdaq. For so long as we remain a controlled company under this definition, we are permitted to elect to rely, and currently rely, on certain exemptions from corporate governance rules, including the exemption from the rule that a majority of our board of directors must be independent directors. For details, see “Item 3. Key Information—D. Risk Factors—Risks Related to GCL Operating as a Public Company—As a “controlled company” under the Nasdaq rules, GCL may choose to exempt itself from certain corporate governance requirements that could have an adverse effect on our public shareholders” in our most recent annual report on Form 20-F, as amended, incorporated herein by reference.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the Jumpstart Our Business Startups Act of 2012 and have elected to comply with certain reduced public company reporting requirements.</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We are also a “foreign private issuer,” as defined in the Securities and Exchange Act of 1934, as amended (the “Exchange Act”), and will be exempt from certain rules under the Exchange Act that impose certain disclosure obligations and procedural requirements for proxy solicitations under Section 14 of the Exchange Act. In addition, our officers, directors and principal shareholders will be exempt from the “short swing” profit recovery provisions under Section 16 of the Exchange Act. Moreover, we will not be required to file periodic reports and financial statements with the U.S. Securities and Exchange Commission as frequently or as promptly as U.S. companies whose securities are registered under the Exchange Act.</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IS SPECULATIVE AND INVOLVES HIGH RISKS THAT ARE DESCRIBED IN THE “RISK FACTORS” SECTION BEGINNING ON PAGE 9 OF THIS PROSPECTUS, IN ANY ACCOMPANYING PROSPECTUS SUPPLEMENT OR IN THE DOCUMENT INCORPORATED BY REFERENCE INTO THIS PROSPECTUS.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2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INDUSTRY AND MARKET DATA</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vii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276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748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MATERIAL U.S. FEDERAL INCOME TAX CONSIDERATIONS</w:t>
            </w:r>
          </w:p>
        </w:tc>
        <w:tc>
          <w:tcPr>
            <w:tcW w:w="456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72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EXPENSES RELATING TO THIS OFFERING</w:t>
            </w:r>
          </w:p>
        </w:tc>
        <w:tc>
          <w:tcPr>
            <w:tcW w:w="67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6"/>
        </w:trPr>
        <w:tc>
          <w:tcPr>
            <w:tcW w:w="102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amendment or supplement. Neither we nor the Selling Shareholders have authorized anyone else to provide you with different information. The securities offered by this prospectus are being offered only in jurisdictions where the offer is permitted. You should not assume that the information in this prospectus or any amendment or supplement is accurate as of any date other than the date on the front of each document. Our business, financial condition, results of operations and prospects may have changed since that date.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prospectus, neither we nor the Selling Shareholders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F-1 filed with the SEC by GCL Global Holdings Ltd. The Selling Shareholders named in this prospectus may, from time to time, sell the securities described in this prospectus in one or more offerings. This prospectus includes important information about us, the securities being offered by the Selling Shareholders and other information you should know before investing. We may provide a prospectus supplement or post-effective amendment to the registration statement to add information to, or update or change information contained in, this prospectus. If there is any inconsistency between the information contained in this prospectus and any prospectus supplement or post-effective amendment, you should rely on the information contained in that particular prospectus supplement or post-effective amendment. You should read this prospectus together with the additional information about us described in the section below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Documents by Reference</w:t>
      </w:r>
      <w:r>
        <w:rPr>
          <w:rFonts w:ascii="Times New Roman" w:cs="Times New Roman" w:eastAsia="Times New Roman" w:hAnsi="Times New Roman"/>
          <w:sz w:val="18"/>
          <w:szCs w:val="18"/>
          <w:color w:val="auto"/>
        </w:rPr>
        <w:t>.” You should rely only on information contained in this prospectus, any prospectus supplement and any related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We have not, and the Selling Shareholders have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Shareholders may offer and sell the securities directly to purchasers, through agents selected by the Selling Shareholders, or to or through underwriters or dealers. A prospectus supplement, if required, may describe the terms of the plan of distribution and set forth the names of any agents, underwriters or dealers involved in the sale of securities.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Shareholders have taken any action to permit the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Ordinary Shares and Warrants and the distribution of this prospectus outside the United States.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 In particular and without limitation, amounts expressed in millions contained in this prospectus have been rounded to a single decimal place for the convenience of readers.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contains estimates and other information concerning our industry, including market size and growth of the market in which we participate, that are derived from various public sources. This information involves a number of assumptions and limitations, and you are cautioned not to give undue weight to these estimates.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Industry publications, research, studies and forecasts generally state that the information they contain has been obtained from sources believed to be reliable, but that the accuracy and completeness of such information is not guaranteed. In some cases, we do not expressly refer to the sources from which these estimates and information are derived. While we have compiled, extracted, and reproduced industry data from these sources, we have not independently verified the data.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then-most recent annual report on Form 20-F, and any updates to those risk factors in our reports on Form 6-K incorporated by reference in this prospectus, together with all of the other information appearing or incorporated by reference in this prospectus. These and other factors could cause results to differ materially from those expressed in any forecasts or estimates.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indicated or required by context, references in this prospectus to “we,” “us,” “our,” “our company,” “GCL,” “the Company” and “PubCo” are to GCL Global Holdings Ltd and its subsidiaries.</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Entities” means, collectively, the Company, Merger Sub 1 and Merger Sub 2, and each, individually, an “Acquisition Entity.”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Memorandum and Articles of Association” means the Amended and Restated Memorandum of Association and Articles of Association of the Company adopted on February 13, 2025.</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“Ancillary Agreements” means, collectively, the Sponsor Support Agreement, the Shareholder Support Agreement, the Lock-Up Agreements, the Registration Rights Agreement, the PubCo Governing Documents, the Assignment and Assumption Agreement, and the joinders to the Merger Agreement executed and delivered by each Acquisition Entity following its formation.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2026 Warrant” means the three-year warrant the Company issued to an institutional investor on April 28, 2026 for 1,125,000 shares at an initial exercise price of $8.00 per share, subject to full-ratchet anti-dilution adjustments and other price protections, in exchange for a portion of the then-outstanding convertible notes issued pursuant to an Amendment, Waiver and Exchange Agreement dated April 28, 2026.</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Mergers and the Transactions, together with the Restructuring, and each other transaction, document or agreement contemplated thereby, to be consummated pursuant to the Merger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Business Combination, which occurred on February 13, 2025 (the “Closing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means the Companies Act (as revised) of the Cayman Islands.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“Epicsoft Ventures” means EpicsoftVentures Ltd., a Cayman Islands exempted company. Jacky Choo See Wee, Chairman of the Board and Catherine Choo See Ling, a director of the Company, hold 98% and 1% of Epicsoft Ventures,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“EBC” means EarlyBirdCapital Inc., the representative of the underwriters in the IPO.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“GCL Companies” or “GCL Group” means, collectively, GCL Global and the Group Subsidiaries (but not, for the avoidance of doubt, the Acquisition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“GCL Global” means GCL Global Limited, a Cayman Islands exempted company limited by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Subsidiaries” means, collectively, (i) Titan Digital Media Pte. Ltd., a Singapore company, (ii) Epicsoft Hong Kong Limited, a Hong Kong company, (iii) Epicsoft Malaysia Sdn. Bhd., a Malaysia company, (iv) Epicsoft Asia Pte. Ltd., a Singapore company, (v) 4Divinity Pte. Ltd., a Singapore company, (vi) 2Game Digital Limited, a Hong Kong company, (vii) Starry Jewelry Pte Ltd., a Singapore company, (viii) Martiangear Pte Ltd., a Singapore company, and (ix) 2 Game Pro Ltda, a Brazilian company ; except that if the context refers to all GCL Global’s current subsidiaries, this means also (x) 2Game Digital DMCC, a U.A.E. company; (xi) 4Divinity UK Ltd., a U.K. company; (xii) Hainan GCL Technology Co. Ltd., a Chinese company, in addition to the foregoing entities listed in (i) through (ix) (See “</w:t>
      </w:r>
      <w:r>
        <w:rPr>
          <w:rFonts w:ascii="Times New Roman" w:cs="Times New Roman" w:eastAsia="Times New Roman" w:hAnsi="Times New Roman"/>
          <w:sz w:val="18"/>
          <w:szCs w:val="18"/>
          <w:i w:val="1"/>
          <w:iCs w:val="1"/>
          <w:color w:val="auto"/>
        </w:rPr>
        <w:t>Our Organizational Structure</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328" w:right="20"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Shares” means the 2,000,000 Ordinary Shares issued at the closing of the Business Combination as an incentive in connection with non-redemption or similar agreements or sources of Transaction Financing, to be allocated by the Sponsor in its sole discretion.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Merger” means the merger of Merger Sub 1 with and into GCL Global.</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means RFAC’s initial public offering of RFAC Units, consummated on March 28, 2022.</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an agreement and plan of merger dated October 18, 2023 (as amended on December 1, 2023, December 15, 2023, January 31, 2024, and September 30, 2024) with the Company, Grand Centrex Limited, a British Virgin Islands business company (“GCL BVI”), GCL Global, and, for the limited purposes set forth therein, the Sponsor.</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Consideration” means $1,200,000,000.</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1” means GCL Sub, a Cayman Islands exempted company limited by shares and wholly owned direct subsidiary of the Company, formed by the Company pursuant to the Merger Agreement for the purpose of participating in the transactions contemplated by the Merger Agreement.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2” means GCL Sub 2, Inc., a Delaware corporation and wholly owned direct subsidiary of the Company, formed by the Company pursuant to the Merger Agreement for the purpose of participating in the transactions contemplated by the Merger Agreement.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means the Initial Merger and the SPAC Merger.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or “PubCo Ordinary Shares” means the ordinary shares of the Company, par value $0.0001 per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Charter” means the Amended and Restated Memorandum and Articles of Association of the Company.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means the registration rights agreement, dated February 13, 2025, by and among the Company, GCL Global and certain holders named therein, providing for certain registration rights to those parties.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means RF Acquisition Corp., a Delaware corporation;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Common Stock” means RFAC Class A Common Stock and RFAC Class B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Class A Common Stock” means Class A common stock of RFAC, par value $0.0001 per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Class B Common Stock” means Class B common stock of RFAC, par value $0.0001 per share.</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Private Placement” means the private placement that closed concurrently with the closing of the IPO pursuant to which RFAC issued and sold to the Sponsor 4,050,000 RFAC Private Placement Warrants and sold to EBC 500,000 RFAC Private Placement Warrants, in each case, at a price of $1.00 per RFAC Private Placement Warrant, generating gross proceeds of $4,550,000, and the private placement occurring at the exercise of the over-allotment option, pursuant to which RFAC issued and sold to the Sponsor an additional 400,500 RFAC Private Placement Warrants and sold to EBC an additional 49,500 RFAC Private Placement Warrants, in each case, at a price of $1.00 per RFAC Private Placement Warrant, generating additional gross proceeds of $450,000.</w:t>
      </w:r>
    </w:p>
    <w:p>
      <w:pPr>
        <w:spacing w:after="0" w:line="39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 w:name="page8"/>
    <w:bookmarkEnd w:id="7"/>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Private Placement Warrants” means the warrants purchased in the RFAC Private Placement.</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Private Placement Warrants Purchase Agreements” means the private placement warrants purchase agreement, dated as of March 23, 2022, by and between RFAC and EBC and the private placement warrants purchase agreements, dated as of March 23, 2022, by and between RFAC and the Sponsor.</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Public Shares” means the shares of RFAC Class A Common Stock sold as part of the RFAC Units in the IPO.</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Public Stockholder” means a holder of RFAC Public Shares.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Public Warrants” means the RFAC warrants sold as part of the RFAC Units in the IPO, each warrant entitling its holder to purchase one share of RFAC Class A Common Stock for $11.50 per share.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Public Rights” or “RFAC Rights” means the RFAC rights sold as part of the RFAC Units in the IPO, each right entitling its holder to receive one-tenth of one share of RFAC Class A Common Stock upon the consummation of an initial business combination.</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Units” means units of RFAC, each unit comprising one share of RFAC Class A Common Stock, one RFAC Public Right, and one RFAC Public Warrant.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“RFAC Warrants” means the RFAC Public Warrants and RFAC Private Placement Warrants.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Merger” means the merger of Merger Sub 2 with and into RFAC.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RF Dynamic LLC, a Delaware limited liability company.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Founder Shares” means an aggregate of 2,875,000 RFAC Class A Common Stock issued to Sponsor in exchange for cash of $25,000 on January 21, 2021.</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means any day on which the Trading Market is open for trading.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Market” means the national stock exchange on which the PubCo Ordinary Shares are listed for trading.</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means, collectively, the Mergers and each of the other transactions contemplated by the Merger Agreement or any of the Ancillary Agreements.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 or “US$” means the legal currency of the United States.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or “GAAP” means generally accepted accounting principles in the United States of America.</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or “PubCo Warrants” means warrants of the Company, each exercisable for one Ordinary Share at an exercise price of $11.50 per share, subject to adjustment.</w:t>
      </w:r>
    </w:p>
    <w:p>
      <w:pPr>
        <w:spacing w:after="0" w:line="36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 Forward-looking statements also include statements regarding the expected benefits of the Business Combination.</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from the acquisition of Ban Leong;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Ban Leong into GCL Group and achieve economies of scale and operational efficiencies;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strategies and future financial performance, including our future business plans or objectives, prospective performance and opportunities and competitors, revenues, customer acquisition and retention, products and services, pricing, marketing plans, operating expenses, market trends and acceptance, liquidity, cash flows and uses of cash, capital expenditures, and our ability to invest in growth initiatives and pursue acquisition opportunities;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the video game and entertainment content industry in general and the markets in which we operate;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 in Singapore, Asia and other international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and others following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plans and operations as a result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board composition;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listing status on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enforcement risks, including the diversion of management time and attention and the additional costs and demands on our resources;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matters described under “Item 3. Key Information—D. Risk Factors” in our most recent annual report on Form 20-F, as amended, incorporated herein by reference.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 ranking and industry data used throughout this prospectus, including statements regarding market size, is based on independent industry surveys and publications. These data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under the headings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our then-most recent annual report on Form 20-F, and any updates to those risk factors in our reports on Form 6-K incorporated by reference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prospectus, together with all of the other information appearing or incorporated by reference in this prospectus.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233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8233410"/>
                    </a:xfrm>
                    <a:prstGeom prst="rect">
                      <a:avLst/>
                    </a:prstGeom>
                    <a:noFill/>
                  </pic:spPr>
                </pic:pic>
              </a:graphicData>
            </a:graphic>
          </wp:anchor>
        </w:drawing>
        <w:t>SUMMARY OF THE PROSPECTUS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GCL Global Holdings Ltd, together with the Group Subsidiaries (“</w:t>
      </w:r>
      <w:r>
        <w:rPr>
          <w:rFonts w:ascii="Times New Roman" w:cs="Times New Roman" w:eastAsia="Times New Roman" w:hAnsi="Times New Roman"/>
          <w:sz w:val="18"/>
          <w:szCs w:val="18"/>
          <w:b w:val="1"/>
          <w:bCs w:val="1"/>
          <w:i w:val="1"/>
          <w:iCs w:val="1"/>
          <w:color w:val="auto"/>
        </w:rPr>
        <w:t>GCL Group</w:t>
      </w:r>
      <w:r>
        <w:rPr>
          <w:rFonts w:ascii="Times New Roman" w:cs="Times New Roman" w:eastAsia="Times New Roman" w:hAnsi="Times New Roman"/>
          <w:sz w:val="18"/>
          <w:szCs w:val="18"/>
          <w:color w:val="auto"/>
        </w:rPr>
        <w:t>”), is a developer, distributor, marketer, and publisher of video games and other entertainment content throughout Asia, Europe, the U.S. and Latin America. It sells and distributes to retailers and consumers in Asia physical and digital copies of video games through physical retailers, such as Sony PlayStation stores in Japan, and online channels in Singapore, Hong Kong, Malaysia, Japan, South Korea, Taiwan, Thailand, Indonesia, the Philippines and other Asian countries. Over 46.3%, 86.8% , and 93.3%, of our total consolidated revenue for the six months ended September 30, 2025, and for the years ended March 31, 2025 and 2024, respectively, was derived from the sale of either games on consoles such as Sony PlayStation, Microsoft Xbox, Nintendo Switch and personal computer (“</w:t>
      </w:r>
      <w:r>
        <w:rPr>
          <w:rFonts w:ascii="Times New Roman" w:cs="Times New Roman" w:eastAsia="Times New Roman" w:hAnsi="Times New Roman"/>
          <w:sz w:val="18"/>
          <w:szCs w:val="18"/>
          <w:b w:val="1"/>
          <w:bCs w:val="1"/>
          <w:i w:val="1"/>
          <w:iCs w:val="1"/>
          <w:color w:val="auto"/>
        </w:rPr>
        <w:t>PC</w:t>
      </w:r>
      <w:r>
        <w:rPr>
          <w:rFonts w:ascii="Times New Roman" w:cs="Times New Roman" w:eastAsia="Times New Roman" w:hAnsi="Times New Roman"/>
          <w:sz w:val="18"/>
          <w:szCs w:val="18"/>
          <w:color w:val="auto"/>
        </w:rPr>
        <w:t>”) to retailers, or game activation keys (the so-called “game codes”) via electronic delivery to retailers or end-users through email or download.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its own creative media design team with studio facilities to produce marketing and promotional materials adapted to local markets and develop original content as part of its content creation or marketing business. Partnering with international video game publishers and developers, the Company has an established track record of selling and marketing top-tier video game franchises such as </w:t>
      </w:r>
      <w:r>
        <w:rPr>
          <w:rFonts w:ascii="Times New Roman" w:cs="Times New Roman" w:eastAsia="Times New Roman" w:hAnsi="Times New Roman"/>
          <w:sz w:val="18"/>
          <w:szCs w:val="18"/>
          <w:i w:val="1"/>
          <w:iCs w:val="1"/>
          <w:color w:val="auto"/>
        </w:rPr>
        <w:t>Grand Theft Auto, Red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Redemption, Sonic the Hedgehog, Cyberpunk 2077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Black Myth: Wukong.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GCL Group leverages its diverse portfolio of digital and physical content to bridge cultures and audiences by introducing Asian-developed IP to a global audience across consoles and PCs. 4Divinity was formed in 2022 as a Group Subsidiary dedicated to games publishing and game development. GCL Group has either published or co-published more than twelve game titles. The Company also has its own production studio and advertising agency, providing media and content advertising services for small and medium-sized enterprises (the “</w:t>
      </w:r>
      <w:r>
        <w:rPr>
          <w:rFonts w:ascii="Times New Roman" w:cs="Times New Roman" w:eastAsia="Times New Roman" w:hAnsi="Times New Roman"/>
          <w:sz w:val="18"/>
          <w:szCs w:val="18"/>
          <w:b w:val="1"/>
          <w:bCs w:val="1"/>
          <w:i w:val="1"/>
          <w:iCs w:val="1"/>
          <w:color w:val="auto"/>
        </w:rPr>
        <w:t>SMEs</w:t>
      </w:r>
      <w:r>
        <w:rPr>
          <w:rFonts w:ascii="Times New Roman" w:cs="Times New Roman" w:eastAsia="Times New Roman" w:hAnsi="Times New Roman"/>
          <w:sz w:val="18"/>
          <w:szCs w:val="18"/>
          <w:color w:val="auto"/>
        </w:rPr>
        <w:t>”) and government agencies.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Mr. Jacky Choo See Wee, our Group Chairman and Chief Executive Officer of Epicsoft Asia and 4Divinity, has over 20 years of video games distribution and retail network management experience in Asia. Under Mr. Choo’s leadership, Epicsoft Asia has become a leading channel distributor for console games, and has forged multi-year deals with international video game publishers and studios such as Sega Corporation (“Sega”), Take-Two Interactive Software UK Limited (“Take-two”), CD Projekt S.A. (“CDPR”) and Warner Bros. Games to sell select game titles within certain territories in Asia. Together with Epicsoft Hong Kong, Epicsoft Malaysia and 2Game, Epicsoft Asia currently has one of the largest networks for video games distribution in Asia through resellers with more than 2,100 physical and online stores, and has sold more than 14.1 million of physical and digital copies of video games during the past three fiscal years. It has distributed in Asia four of the top ten best-selling video games of all time1, three of which it is currently still selling. It is also responsible for bringing to Asia some award-winning all-time favorite video games, such as Hogwarts Legacy, Grand </w:t>
      </w:r>
      <w:r>
        <w:rPr>
          <w:rFonts w:ascii="Times New Roman" w:cs="Times New Roman" w:eastAsia="Times New Roman" w:hAnsi="Times New Roman"/>
          <w:sz w:val="18"/>
          <w:szCs w:val="18"/>
          <w:i w:val="1"/>
          <w:iCs w:val="1"/>
          <w:color w:val="auto"/>
        </w:rPr>
        <w:t xml:space="preserve">Theft Auto IV, Grand Theft Auto V, Red Dead Redemption II, Cyberpunk 2077, The Witcher 3: Wild Hunt, Elden Ring: Nightreign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Black Myth: Wukong</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2Game is GCL Group’s authorized digital sales platform. It operates as a business-to-business (“</w:t>
      </w:r>
      <w:r>
        <w:rPr>
          <w:rFonts w:ascii="Times New Roman" w:cs="Times New Roman" w:eastAsia="Times New Roman" w:hAnsi="Times New Roman"/>
          <w:sz w:val="18"/>
          <w:szCs w:val="18"/>
          <w:b w:val="1"/>
          <w:bCs w:val="1"/>
          <w:i w:val="1"/>
          <w:iCs w:val="1"/>
          <w:color w:val="auto"/>
        </w:rPr>
        <w:t>B2B</w:t>
      </w:r>
      <w:r>
        <w:rPr>
          <w:rFonts w:ascii="Times New Roman" w:cs="Times New Roman" w:eastAsia="Times New Roman" w:hAnsi="Times New Roman"/>
          <w:sz w:val="18"/>
          <w:szCs w:val="18"/>
          <w:color w:val="auto"/>
        </w:rPr>
        <w:t>”) and business-to-consumer (“</w:t>
      </w:r>
      <w:r>
        <w:rPr>
          <w:rFonts w:ascii="Times New Roman" w:cs="Times New Roman" w:eastAsia="Times New Roman" w:hAnsi="Times New Roman"/>
          <w:sz w:val="18"/>
          <w:szCs w:val="18"/>
          <w:b w:val="1"/>
          <w:bCs w:val="1"/>
          <w:i w:val="1"/>
          <w:iCs w:val="1"/>
          <w:color w:val="auto"/>
        </w:rPr>
        <w:t>B2C</w:t>
      </w:r>
      <w:r>
        <w:rPr>
          <w:rFonts w:ascii="Times New Roman" w:cs="Times New Roman" w:eastAsia="Times New Roman" w:hAnsi="Times New Roman"/>
          <w:sz w:val="18"/>
          <w:szCs w:val="18"/>
          <w:color w:val="auto"/>
        </w:rPr>
        <w:t>”) digital video game retailer. It sells and distributes game activation keys, the so-called “activation keys” or “game codes” to both resellers and consumers as part of GCL Group’s concerted effort to transition from physical console game compact discs to activation keys and content.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4Divinity is GCL Group’s publishing arm. Its mission is to develop game IP, invest in upcoming game titles, to publish, or co-publish with international game publishers and content development studios, to introduce new video games and entertainment properties to Asia’s fast-growing market of gamers, and to introduce original Asian-developed video games and entertainment content to the global market.</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Titan Digital Media (“</w:t>
      </w:r>
      <w:r>
        <w:rPr>
          <w:rFonts w:ascii="Times New Roman" w:cs="Times New Roman" w:eastAsia="Times New Roman" w:hAnsi="Times New Roman"/>
          <w:sz w:val="18"/>
          <w:szCs w:val="18"/>
          <w:b w:val="1"/>
          <w:bCs w:val="1"/>
          <w:i w:val="1"/>
          <w:iCs w:val="1"/>
          <w:color w:val="auto"/>
        </w:rPr>
        <w:t>TDM</w:t>
      </w:r>
      <w:r>
        <w:rPr>
          <w:rFonts w:ascii="Times New Roman" w:cs="Times New Roman" w:eastAsia="Times New Roman" w:hAnsi="Times New Roman"/>
          <w:sz w:val="18"/>
          <w:szCs w:val="18"/>
          <w:color w:val="auto"/>
        </w:rPr>
        <w:t>”) is a Group Subsidiary specialized in creating customized and strategic marketing campaigns specific to a brand’s needs. With its in-house strategists, producers, designers, video production and marketing team, TDM is a full-service agency that connects a brand with its target audience to achieve campaign key performance indicators (“</w:t>
      </w:r>
      <w:r>
        <w:rPr>
          <w:rFonts w:ascii="Times New Roman" w:cs="Times New Roman" w:eastAsia="Times New Roman" w:hAnsi="Times New Roman"/>
          <w:sz w:val="18"/>
          <w:szCs w:val="18"/>
          <w:b w:val="1"/>
          <w:bCs w:val="1"/>
          <w:i w:val="1"/>
          <w:iCs w:val="1"/>
          <w:color w:val="auto"/>
        </w:rPr>
        <w:t>KPIs</w:t>
      </w:r>
      <w:r>
        <w:rPr>
          <w:rFonts w:ascii="Times New Roman" w:cs="Times New Roman" w:eastAsia="Times New Roman" w:hAnsi="Times New Roman"/>
          <w:sz w:val="18"/>
          <w:szCs w:val="18"/>
          <w:color w:val="auto"/>
        </w:rPr>
        <w:t>”) and marketing goals. It has a production studio, an advertising agency, and a multi-channel network of talent.</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Ban Leong Technologies Pte. Ltd. (“</w:t>
      </w:r>
      <w:r>
        <w:rPr>
          <w:rFonts w:ascii="Times New Roman" w:cs="Times New Roman" w:eastAsia="Times New Roman" w:hAnsi="Times New Roman"/>
          <w:sz w:val="18"/>
          <w:szCs w:val="18"/>
          <w:b w:val="1"/>
          <w:bCs w:val="1"/>
          <w:i w:val="1"/>
          <w:iCs w:val="1"/>
          <w:color w:val="auto"/>
        </w:rPr>
        <w:t>Ban Leong</w:t>
      </w:r>
      <w:r>
        <w:rPr>
          <w:rFonts w:ascii="Times New Roman" w:cs="Times New Roman" w:eastAsia="Times New Roman" w:hAnsi="Times New Roman"/>
          <w:sz w:val="18"/>
          <w:szCs w:val="18"/>
          <w:color w:val="auto"/>
        </w:rPr>
        <w:t>”) is an indirect wholly-owned subsidiary of the Company, principally engaged in the wholesale and distribution of computer peripherals, accessories and other multimedia products, with operations across Singapore, Malaysia, and Thailand.</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GCL Group is headquartered in Singapore, with subsidiaries in Malaysia, Hong Kong, Thailand, China, Japan, Taiwan, Brazil, the United Kingdom and the United Arab Emirates.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370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5370195"/>
                    </a:xfrm>
                    <a:prstGeom prst="rect">
                      <a:avLst/>
                    </a:prstGeom>
                    <a:noFill/>
                  </pic:spPr>
                </pic:pic>
              </a:graphicData>
            </a:graphic>
          </wp:anchor>
        </w:drawing>
        <w:t>Resale by Selling Shareholders pursuant to this prospectus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Shareholders of (a) up to 83,456,793 Ordinary Shares, which consist of (i) 80,581,793 Ordinary Shares issued to Epicsoft Ventures in connection with the Business Combination at an implied purchase price of $10.00 per share; and (ii) 2,875,000 Ordinary Shares issued to the Sponsor, which were originally purchased by the Sponsor at approximately $0.009 per share; (b) up to 4,450,500 Ordinary Shares issuable upon the exercise of 4,450,500 Warrants, which were originally issued concurrently with the initial public offering of RFAC in a private placement to the Sponsor at a price of $1.00 per warrant, with each Warrant exercisable for one Ordinary Share at $11.50 per share; and (c) up to 549,500 Ordinary Shares issuable upon the exercise of 549,500 Warrants, which were originally issued concurrently with the initial public offering of RFAC in a private placement to EBC at a price of $1.00 per warrant, with each Warrant exercisable for one Ordinary Share at $11.50 per share.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so long as the effective registration statement of which this prospectus forms a part is available for use, Epicsoft Ventures and the Sponsor, collectively the beneficial owners of 83,456,793 Ordinary Shares, constituting approximately 65.2% of our outstanding Ordinary Shares as of the date of this prospectus, can sell under this prospectus (assuming all Warrants are exercised in full), up to 87,907,293 Ordinary Shares constituting approximately 68.7% of the outstanding Ordinary Shares as of the date of this prospectus. Given the substantial number of Ordinary Shares being registered for potential resale by the Selling Shareholders pursuant to this prospectus, the sale of shares by the Selling Shareholders, or the perception in the market that the holders of a large number of our Ordinary Shares intend to sell their shares, could increase the volatility of, or result in a significant decline in, the public trading price of the Ordinary Shares.</w:t>
      </w:r>
    </w:p>
    <w:p>
      <w:pPr>
        <w:spacing w:after="0" w:line="21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Sales of a substantial number of Ordinary Shares in the public market by the Selling Shareholders and/or by our other existing shareholders, or the perception that those sales might occur, could result in a significant decline in the public trading price of our Ordinary Shares and could impair our ability to raise capital through the sale of additional equity securities. Because the prices at which certain Selling Shareholders acquired the securities that they may sell pursuant to this prospectus may be lower than that of our public shareholders, certain Selling Shareholders may still experience a positive rate of return on the securities that they sell pursuant to this prospectus, and be incentivized to sell such shares, when our public shareholders may not experience a similar rate of return. Based on the closing price of our Ordinary Shares of $0.45 as of May 15, 2026, the Sponsor (with respect to the Sponsor Founder shares) may experience potential profit of up to $0.441 per share, or an aggregate amount of profit of up to approximately $1.27 million. Accordingly, such Selling Shareholders may have an incentive to sell their securities even if the trading price is lower than the price at which our public shareholders purchased their securities. In connection with the initial public offering of RFAC, RFAC’s initial public shareholders acquired RFAC Public Units at a price of $10.00 per unit, each of which comprises one share of RFAC Common Stock, one RFAC Warrant and one RFAC Right, and trading price of our Ordinary Shares have fluctuated, and may continue to fluctuate, following the closing of the Business Combination. Epicsoft Ventures (with respect to the shares issued to Epicsoft Ventures in connection with the Business Combination) may experience potential profit if the price of the Company’s Ordinary Shares exceeds $10.00 per share. As a result, our public shareholders may not be able to achieve the same returns as Epicsoft Ventures, the Sponsor or EBC, or even any positive return at all, on the Ordinary Shares if they sell our Ordinary Shares in the market at the then-prevailing market prices. See “</w:t>
      </w:r>
      <w:r>
        <w:rPr>
          <w:rFonts w:ascii="Times New Roman" w:cs="Times New Roman" w:eastAsia="Times New Roman" w:hAnsi="Times New Roman"/>
          <w:sz w:val="18"/>
          <w:szCs w:val="18"/>
          <w:i w:val="1"/>
          <w:iCs w:val="1"/>
          <w:color w:val="auto"/>
        </w:rPr>
        <w:t>Risk Factors - Sales of a substantial number of our securities in the public market by our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could cause the price of our Ordinary Shares and Warrants to fall, and certain Selling Shareholders can earn a positive rate of return on their investment, even if other shareholders experience a negative rate of return.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847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t>Completion of Business Combination</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February 13, 2025, we consummated the previously announced business combination with RFAC, pursuant to the Merger Agreement.</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the Closing Date, pursuant to the Merger Agreement, (a) Merger Sub 1 merged with and into GCL Global, with GCL Global continuing as the surviving entity in the merger, as a result of which: (i) GCL Global became a wholly-owned subsidiary of the Company and (ii) each issued and outstanding share of GCL Global immediately prior to the consummation of the Merger was automatically cancelled, in exchange for the right of the holder thereof to receive such number of newly issued shares of the Company specified below; and (b) Merger Sub 2 merged with and into RFAC, with RFAC surviving such merger as a wholly owned subsidiary of the Company. As a result of the Transactions, RFAC and GCL Global each became a wholly-owned subsidiary of the Company.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all outstanding RFAC Units (each of which consisted of (i) one share of RFAC Class A Common Stock, (ii) one RFAC Public Warrant, and (iii) one RFAC Public Right) automatically separated into their individual components of RFAC Class A Common Stock, RFAC Public Warrants and RFAC Public Rights and such units ceased separate existence and trading. Upon the consummation of the Business Combination, the equity holdings of the RFAC stockholders were exchanged as follows:</w:t>
      </w:r>
    </w:p>
    <w:p>
      <w:pPr>
        <w:spacing w:after="0" w:line="180" w:lineRule="exact"/>
        <w:rPr>
          <w:sz w:val="20"/>
          <w:szCs w:val="20"/>
          <w:color w:val="auto"/>
        </w:rPr>
      </w:pPr>
    </w:p>
    <w:p>
      <w:pPr>
        <w:jc w:val="both"/>
        <w:ind w:left="660" w:hanging="33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RFAC Common Stock, including RFAC Class A Common Stock and RFAC Class B Common Stock, issued and outstanding immediately prior to the effective time of the Business Combination (other than any redeemed shares) was automatically cancelled and ceased to exist and, for each share of RFAC Common Stock, the Company issued to each RFAC shareholder (other than RFAC shareholders who exercised their redemption rights in connection with the Business Combination) one validly issued Ordinary Share;</w:t>
      </w:r>
    </w:p>
    <w:p>
      <w:pPr>
        <w:spacing w:after="0" w:line="179"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RFAC Warrant issued and outstanding immediately prior to effective time of the Business Combination converted into a warrant to purchase one Ordinary Share (or equivalent portion thereof). The Warrants have substantially the same terms and conditions as set forth in the RFAC Warrants, except that the Warrants are exercisable for Ordinary Shares rather than RFAC Common Stock;</w:t>
      </w:r>
    </w:p>
    <w:p>
      <w:pPr>
        <w:spacing w:after="0" w:line="17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10 RFAC Rights issued and outstanding immediately prior to the effective time of the Business Combination converted into one Ordinary Share of the Company (rounded down to the nearest whole share); and</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capital stock of Merger Sub 2 that was issued and outstanding immediately prior to the effective time of the SPAC Merger were converted into an equal number of shares of Class A common stock of RFAC, par value $0.0001 per share.</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At the effective time of the Initial Merger, pursuant to the Initial Merger: (1) each ordinary share of GCL Global that was issued and outstanding immediately prior to the effective time of the Initial Merger (other than any treasury shares or dissenting shares), was cancelled and ceased to exist in exchange for such number of newly issued Ordinary Shares equal to the Company Exchange Ratio, rounded up to the nearest whole share, and as of the Initial Merger Effective Time, each GCL Global shareholder ceased to have any other rights in and to GCL Global (other than any applicable appraisal and dissenter’s rights); (2) if there were any ordinary shares of GCL Global owned by the GCL Global as treasury shares or any ordinary shares of GCL Global owned by any direct or indirect subsidiary of GCL Global immediately prior to the effective time of the Initial Merger, such shares were canceled and ceased to exist without any conversion thereof or payment therefor; (3) each of the dissenting shares issued and outstanding immediately prior to the effective time of the Initial Merger was canceled and ceased to exist in accordance with Section 2.7(a) of the Merger Agreement and thereafter represented only the right to receive the applicable payments set forth in Section 2.7(a) of the Merger Agreement; and (4) each share of Merger Sub 1 that was issued and outstanding immediately prior to the effective time of the Initial Merger was converted into an equal number and class of shares of GCL Global, which shares constituted the only issued and outstanding shares of GCL Global.</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February 14, 2025, our Ordinary Shares and Warrants commenced trading on Nasdaq, under the symbols “GCL” and “GCLWW,”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with limited liability. Our principal executive office is located at 29 Tai Seng Avenue #02-01, Natural Cool Lifestyle Hub, Singapore 534119. Our telephone number is +65 80427330. Our website is www.gclglobalholdings.com.</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 website at www.sec.gov which contains in electronic form each of the reports and other information that we have filed electronically with the SEC.</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agent for service of process in the United States is Cogency Global Inc.,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12" w:name="page13"/>
    <w:bookmarkEnd w:id="12"/>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688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8688070"/>
                    </a:xfrm>
                    <a:prstGeom prst="rect">
                      <a:avLst/>
                    </a:prstGeom>
                    <a:noFill/>
                  </pic:spPr>
                </pic:pic>
              </a:graphicData>
            </a:graphic>
          </wp:anchor>
        </w:drawing>
        <w:t>Our Organizational Structure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chart illustrates the current corporate structure of 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Names of entities abbreviated in chart: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Abbreviated Name</w:t>
            </w:r>
          </w:p>
        </w:tc>
        <w:tc>
          <w:tcPr>
            <w:tcW w:w="120" w:type="dxa"/>
            <w:vAlign w:val="bottom"/>
          </w:tcPr>
          <w:p>
            <w:pPr>
              <w:spacing w:after="0"/>
              <w:rPr>
                <w:sz w:val="21"/>
                <w:szCs w:val="21"/>
                <w:color w:val="auto"/>
              </w:rPr>
            </w:pP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Company Full Name</w:t>
            </w:r>
          </w:p>
        </w:tc>
        <w:tc>
          <w:tcPr>
            <w:tcW w:w="100" w:type="dxa"/>
            <w:vAlign w:val="bottom"/>
          </w:tcPr>
          <w:p>
            <w:pPr>
              <w:spacing w:after="0"/>
              <w:rPr>
                <w:sz w:val="21"/>
                <w:szCs w:val="21"/>
                <w:color w:val="auto"/>
              </w:rPr>
            </w:pPr>
          </w:p>
        </w:tc>
        <w:tc>
          <w:tcPr>
            <w:tcW w:w="25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Abbreviated Name</w:t>
            </w:r>
          </w:p>
        </w:tc>
        <w:tc>
          <w:tcPr>
            <w:tcW w:w="120" w:type="dxa"/>
            <w:vAlign w:val="bottom"/>
          </w:tcPr>
          <w:p>
            <w:pPr>
              <w:spacing w:after="0"/>
              <w:rPr>
                <w:sz w:val="21"/>
                <w:szCs w:val="21"/>
                <w:color w:val="auto"/>
              </w:rPr>
            </w:pPr>
          </w:p>
        </w:tc>
        <w:tc>
          <w:tcPr>
            <w:tcW w:w="31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Company Full Name</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2Game Digital</w:t>
            </w:r>
          </w:p>
        </w:tc>
        <w:tc>
          <w:tcPr>
            <w:tcW w:w="120" w:type="dxa"/>
            <w:vAlign w:val="bottom"/>
          </w:tcPr>
          <w:p>
            <w:pPr>
              <w:spacing w:after="0"/>
              <w:rPr>
                <w:sz w:val="18"/>
                <w:szCs w:val="18"/>
                <w:color w:val="auto"/>
              </w:rPr>
            </w:pPr>
          </w:p>
        </w:tc>
        <w:tc>
          <w:tcPr>
            <w:tcW w:w="2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2Game Digital Limited</w:t>
            </w:r>
          </w:p>
        </w:tc>
        <w:tc>
          <w:tcPr>
            <w:tcW w:w="100" w:type="dxa"/>
            <w:vAlign w:val="bottom"/>
          </w:tcPr>
          <w:p>
            <w:pPr>
              <w:spacing w:after="0"/>
              <w:rPr>
                <w:sz w:val="18"/>
                <w:szCs w:val="18"/>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Epicsoft Hong Kong</w:t>
            </w:r>
          </w:p>
        </w:tc>
        <w:tc>
          <w:tcPr>
            <w:tcW w:w="120" w:type="dxa"/>
            <w:vAlign w:val="bottom"/>
          </w:tcPr>
          <w:p>
            <w:pPr>
              <w:spacing w:after="0"/>
              <w:rPr>
                <w:sz w:val="18"/>
                <w:szCs w:val="18"/>
                <w:color w:val="auto"/>
              </w:rPr>
            </w:pPr>
          </w:p>
        </w:tc>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Epicsoft (Hong Kong) Limited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2Game Brazil</w:t>
            </w:r>
          </w:p>
        </w:tc>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 Game Pro Ltda.</w:t>
            </w:r>
          </w:p>
        </w:tc>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Epicsoft Malaysia</w:t>
            </w: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Epicsoft Malaysia Sdn. Bhd.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2Game Dubai</w:t>
            </w: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2Game Digital DMCC</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GCL Global SG</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GCL Global Pte. Ltd.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4Divinity</w:t>
            </w:r>
          </w:p>
        </w:tc>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4Divinity Pte. Ltd.</w:t>
            </w:r>
          </w:p>
        </w:tc>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GCL Taiwan</w:t>
            </w: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GCL Taiwan Co, Ltd.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4Divinity Hong Kong</w:t>
            </w: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4Divinity HK Ltd.</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Hainan GCL Technology</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Hainan GCL Technology Co. Ltd.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4Divinity UK</w:t>
            </w:r>
          </w:p>
        </w:tc>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4Divinity UK Ltd.</w:t>
            </w:r>
          </w:p>
        </w:tc>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Martiangear</w:t>
            </w: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Martiangear Pte. Ltd.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4Divinity JP</w:t>
            </w: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4Divinity Japan Ltd.</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Starry Jewelry</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Starry Jewelry Pte. Ltd.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Hub</w:t>
            </w:r>
          </w:p>
        </w:tc>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Digital Hub Pte. Ltd.</w:t>
            </w:r>
          </w:p>
        </w:tc>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Titan Digital Media</w:t>
            </w: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Titan Digital Media Pte. Ltd.</w:t>
            </w: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Epicsoft Asia</w:t>
            </w: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Epicsoft Asia Pte. Ltd.</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2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370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8370570"/>
                    </a:xfrm>
                    <a:prstGeom prst="rect">
                      <a:avLst/>
                    </a:prstGeom>
                    <a:noFill/>
                  </pic:spPr>
                </pic:pic>
              </a:graphicData>
            </a:graphic>
          </wp:anchor>
        </w:drawing>
        <w:t>Summary of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investment in our Ordinary Shares and Warrants involves significant risks. Before making an investment decision., you should carefully consider the risk factors described in this prospectus under “Risk Factors” as well as those contained in our most recent annual report on Form 20-F, and any updates to those risks in our reports on Form 6-K, in each case incorporated by reference herein, together with all of the other information appearing or incorporated by reference herein. Additional risks not presently known to us or that we currently deem immaterial may also impair our business operations. Our business, financial condition, results of operations or prospects could be materially and adversely affected by any of these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Company’s Business and Industry</w:t>
      </w:r>
    </w:p>
    <w:p>
      <w:pPr>
        <w:spacing w:after="0" w:line="229" w:lineRule="exact"/>
        <w:rPr>
          <w:sz w:val="20"/>
          <w:szCs w:val="20"/>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will suffer if we are unable to distribute and publish new game titles, “hit” game titles or sequels to such “hit” titles.</w:t>
      </w:r>
    </w:p>
    <w:p>
      <w:pPr>
        <w:spacing w:after="0" w:line="22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maintain licenses to intellectual property through distribution agreements with game publishers may affect our revenue and profitability.</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importance of digital content delivery exposes us to the risks of that business model, including greater competition from online and mobile games.</w:t>
      </w:r>
    </w:p>
    <w:p>
      <w:pPr>
        <w:spacing w:after="0" w:line="161"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Jacky Choo See Wee, our Group Chairman and CEO of Epicsoft Asia, and our senior management team. Loss of Mr. Choo’s leadership or services from any of our senior management team could have a material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customers account for a significant portion of our sales. The loss of a principal customer or other significant business relationship could seriously hurt our business.</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limited shelf space and promotional support from retailers could affect the success of our business and require us to incur greater expenses to market our titles.</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publishing business is partly dependent on our ability to enter into successful software development arrangements with third parties.</w:t>
      </w:r>
    </w:p>
    <w:p>
      <w:pPr>
        <w:spacing w:after="0" w:line="22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invest in, establish and maintain awareness of our brands and games, or if we incur excessive expenses promoting and maintaining our brands or our games, our business, financial condition, results of operations, or reputation could be harmed.</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video game industry is very competitive. If consumers prefer our competitors’ games over the ones we distribute or develop, our operating results could suffer.</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grow our business through strategic acquisitions, investments, and joint ventures that involve numerous risks and uncertainties.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Company’s International Operations, Legal and Regulatory Matters</w:t>
      </w:r>
    </w:p>
    <w:p>
      <w:pPr>
        <w:spacing w:after="0" w:line="229" w:lineRule="exact"/>
        <w:rPr>
          <w:sz w:val="20"/>
          <w:szCs w:val="20"/>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numerous legal and regulatory risks that could have an adverse impact on our business and prospects.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are, and our strategy to expand internationally will be, subject to increased challenges and risks.</w:t>
      </w:r>
    </w:p>
    <w:p>
      <w:pPr>
        <w:spacing w:after="0" w:line="22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us or our vendors to comply with applicable anti-money laundering or other related laws and regulations could damage its business, reputation, financial condition, and results of operation, or subject it to other risks.</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operating and investing in Asia.</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net income may be materially and adversely affected by any economic slowdown or developments in the social, political, regulatory and economic environments in Asia as well as globally.</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legal system in certain markets in Southeast Asia could adversely affect GCL Companies.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uncertain tax liabilities in various jurisdictions where we operate, and suffer adverse financial consequences as a result.</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and governmental agencies may restrict access to platforms, our website or the Internet generally, which could lead to the loss or slower growth of our gamer base.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096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8096250"/>
                    </a:xfrm>
                    <a:prstGeom prst="rect">
                      <a:avLst/>
                    </a:prstGeom>
                    <a:noFill/>
                  </pic:spPr>
                </pic:pic>
              </a:graphicData>
            </a:graphic>
          </wp:anchor>
        </w:drawing>
        <w:t>Risks Related to the Company Operating in China</w:t>
      </w:r>
    </w:p>
    <w:p>
      <w:pPr>
        <w:spacing w:after="0" w:line="229" w:lineRule="exact"/>
        <w:rPr>
          <w:sz w:val="20"/>
          <w:szCs w:val="20"/>
          <w:color w:val="auto"/>
        </w:rPr>
      </w:pPr>
    </w:p>
    <w:p>
      <w:pPr>
        <w:jc w:val="both"/>
        <w:ind w:left="660" w:hanging="331"/>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and quick change of the legal system in China with little advance notice could limit the legal protections available or impose additional requirements and obligations on our business operation in China and Hong Kong, which may materially and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gaming industry in China is subject to a variety of PRC laws and regulations, many of which are unsettled and still developing, and which could subject us or our resellers to claims or otherwise harm our business, financial condition, results of operations and growth prospects.</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requisite approvals, licenses, or permits applicable to our resellers’ business may have a material and adverse impact on our resellers’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PubCo Operating as a Public Company</w:t>
      </w:r>
    </w:p>
    <w:p>
      <w:pPr>
        <w:spacing w:after="0" w:line="229" w:lineRule="exact"/>
        <w:rPr>
          <w:sz w:val="20"/>
          <w:szCs w:val="20"/>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GCL Group’s management team has limited experience managing a public company.</w:t>
      </w:r>
    </w:p>
    <w:p>
      <w:pPr>
        <w:spacing w:after="0" w:line="22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PubCo fails to implement and maintain an effective system of internal controls, PubCo may be unable to accurately report its results of operations, meets its reporting obligations or prevent fraud, and investor confidence and the market price of PubCo’s Ordinary Shares may be materially and adversely affected.</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PubCo ceases to qualify as a foreign private issuer, it would be required to comply fully with the reporting requirements of the Exchange Act applicable to U.S. domestic issuers, and it would incur significant additional legal, accounting, and other expenses that it would not incur as a foreign private issuer.</w:t>
      </w:r>
    </w:p>
    <w:p>
      <w:pPr>
        <w:spacing w:after="0" w:line="17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PubCo is a foreign private issuer and is exempt from certain Nasdaq corporate governance standards applicable to U.S. issuers, you will have less protection than you would have if it were a domestic issuer.</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PubCo is incorporated under Cayman Islands law.</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“controlled company” under the Nasdaq rules, PubCo may choose to exempt itself from certain corporate governance requirements that could have an adverse effect on our public shareholders.</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does not expect to declare any dividends in the foreseeable future.</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over financial reporting could have a material adverse effect on PubCo’s business, operating results and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Risks and uncertainties relating to our securities include, but are not limited to, the following:</w:t>
      </w:r>
    </w:p>
    <w:p>
      <w:pPr>
        <w:spacing w:after="0" w:line="225" w:lineRule="exact"/>
        <w:rPr>
          <w:sz w:val="20"/>
          <w:szCs w:val="20"/>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development of an active trading market for our shares;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our shares;</w:t>
      </w:r>
    </w:p>
    <w:p>
      <w:pPr>
        <w:spacing w:after="0" w:line="22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or availability for sale of substantial amounts of our shares by the Selling Shareholders that could cause the price of our shares to fall, and certain Selling Shareholders can earn a positive rate of return on their investment, even if other shareholders experience a negative return;</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dilution resulted from the exercise of warrants;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may expire worthless, as they may never be in the money;</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for existing shareholders upon our issuance of additional shares;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the listing of our securities on Nasdaq in the future.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313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6313170"/>
                    </a:xfrm>
                    <a:prstGeom prst="rect">
                      <a:avLst/>
                    </a:prstGeom>
                    <a:noFill/>
                  </pic:spPr>
                </pic:pic>
              </a:graphicData>
            </a:graphic>
          </wp:anchor>
        </w:drawing>
        <w:t>THE OFFERING</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The “Description of Securities” section of this prospectus contains a more detailed description of the ordinary shares of the Company. Any investment in the securities offered hereby is speculative and involves a high degree of risk. You should carefully consider the information set forth under “Risk Factors” of this prospectus as well as those contained in our most recent annual report on Form 20-F, as amended, and any updates to those risks in our reports on Form 6-K, in each case incorporated by reference herein, together with all of the other information appearing or incorporated by reference herein.</w:t>
      </w:r>
    </w:p>
    <w:p>
      <w:pPr>
        <w:sectPr>
          <w:pgSz w:w="11900" w:h="16838" w:orient="portrait"/>
          <w:cols w:equalWidth="0" w:num="1">
            <w:col w:w="11000"/>
          </w:cols>
          <w:pgMar w:left="440" w:top="1022" w:right="45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GCL Global Holdings Ltd</w:t>
      </w:r>
    </w:p>
    <w:p>
      <w:pPr>
        <w:spacing w:after="0" w:line="200" w:lineRule="exact"/>
        <w:rPr>
          <w:sz w:val="20"/>
          <w:szCs w:val="20"/>
          <w:color w:val="auto"/>
        </w:rPr>
      </w:pPr>
    </w:p>
    <w:p>
      <w:pPr>
        <w:sectPr>
          <w:pgSz w:w="11900" w:h="16838" w:orient="portrait"/>
          <w:cols w:equalWidth="0" w:num="2">
            <w:col w:w="2140" w:space="720"/>
            <w:col w:w="8140"/>
          </w:cols>
          <w:pgMar w:left="440" w:top="1022" w:right="4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ectPr>
          <w:pgSz w:w="11900" w:h="16838" w:orient="portrait"/>
          <w:cols w:equalWidth="0" w:num="1">
            <w:col w:w="11000"/>
          </w:cols>
          <w:pgMar w:left="440" w:top="1022" w:right="45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Ordinary Shares to be issued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16,500,000 Ordinary Shares issuable upon the exercise of 16,500,000 Warrants</w:t>
      </w:r>
    </w:p>
    <w:p>
      <w:pPr>
        <w:spacing w:after="0" w:line="200" w:lineRule="exact"/>
        <w:rPr>
          <w:sz w:val="20"/>
          <w:szCs w:val="20"/>
          <w:color w:val="auto"/>
        </w:rPr>
      </w:pPr>
    </w:p>
    <w:p>
      <w:pPr>
        <w:sectPr>
          <w:pgSz w:w="11900" w:h="16838" w:orient="portrait"/>
          <w:cols w:equalWidth="0" w:num="2">
            <w:col w:w="2520" w:space="340"/>
            <w:col w:w="8140"/>
          </w:cols>
          <w:pgMar w:left="440" w:top="1022" w:right="459" w:bottom="1440" w:gutter="0" w:footer="0" w:header="0"/>
          <w:type w:val="continuous"/>
        </w:sectPr>
      </w:pPr>
    </w:p>
    <w:p>
      <w:pPr>
        <w:spacing w:after="0" w:line="35" w:lineRule="exact"/>
        <w:rPr>
          <w:sz w:val="20"/>
          <w:szCs w:val="20"/>
          <w:color w:val="auto"/>
        </w:rPr>
      </w:pPr>
    </w:p>
    <w:p>
      <w:pPr>
        <w:ind w:left="160" w:hanging="161"/>
        <w:spacing w:after="0" w:line="284" w:lineRule="auto"/>
        <w:rPr>
          <w:sz w:val="20"/>
          <w:szCs w:val="20"/>
          <w:color w:val="auto"/>
        </w:rPr>
      </w:pPr>
      <w:r>
        <w:rPr>
          <w:rFonts w:ascii="Times New Roman" w:cs="Times New Roman" w:eastAsia="Times New Roman" w:hAnsi="Times New Roman"/>
          <w:sz w:val="18"/>
          <w:szCs w:val="18"/>
          <w:i w:val="1"/>
          <w:iCs w:val="1"/>
          <w:color w:val="auto"/>
        </w:rPr>
        <w:t>Ordinary Shares issued prior to exercise of all Warrants*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130,135,432</w:t>
      </w:r>
    </w:p>
    <w:p>
      <w:pPr>
        <w:spacing w:after="0" w:line="438" w:lineRule="exact"/>
        <w:rPr>
          <w:sz w:val="20"/>
          <w:szCs w:val="20"/>
          <w:color w:val="auto"/>
        </w:rPr>
      </w:pPr>
    </w:p>
    <w:p>
      <w:pPr>
        <w:sectPr>
          <w:pgSz w:w="11900" w:h="16838" w:orient="portrait"/>
          <w:cols w:equalWidth="0" w:num="2">
            <w:col w:w="2300" w:space="560"/>
            <w:col w:w="8140"/>
          </w:cols>
          <w:pgMar w:left="440" w:top="102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Ordinary Shares issued assuming</w:t>
      </w:r>
    </w:p>
    <w:p>
      <w:pPr>
        <w:spacing w:after="0" w:line="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exercise of all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146,635,432</w:t>
      </w:r>
    </w:p>
    <w:p>
      <w:pPr>
        <w:spacing w:after="0" w:line="434" w:lineRule="exact"/>
        <w:rPr>
          <w:sz w:val="20"/>
          <w:szCs w:val="20"/>
          <w:color w:val="auto"/>
        </w:rPr>
      </w:pPr>
    </w:p>
    <w:p>
      <w:pPr>
        <w:sectPr>
          <w:pgSz w:w="11900" w:h="16838" w:orient="portrait"/>
          <w:cols w:equalWidth="0" w:num="2">
            <w:col w:w="2420" w:space="440"/>
            <w:col w:w="8140"/>
          </w:cols>
          <w:pgMar w:left="440" w:top="1022" w:right="459" w:bottom="1440" w:gutter="0" w:footer="0" w:header="0"/>
          <w:type w:val="continuous"/>
        </w:sectPr>
      </w:pPr>
    </w:p>
    <w:p>
      <w:pPr>
        <w:spacing w:after="0" w:line="5" w:lineRule="exact"/>
        <w:rPr>
          <w:sz w:val="20"/>
          <w:szCs w:val="20"/>
          <w:color w:val="auto"/>
        </w:rPr>
      </w:pPr>
    </w:p>
    <w:p>
      <w:pPr>
        <w:ind w:left="160" w:hanging="161"/>
        <w:spacing w:after="0" w:line="284" w:lineRule="auto"/>
        <w:rPr>
          <w:sz w:val="20"/>
          <w:szCs w:val="20"/>
          <w:color w:val="auto"/>
        </w:rPr>
      </w:pPr>
      <w:r>
        <w:rPr>
          <w:rFonts w:ascii="Times New Roman" w:cs="Times New Roman" w:eastAsia="Times New Roman" w:hAnsi="Times New Roman"/>
          <w:sz w:val="18"/>
          <w:szCs w:val="18"/>
          <w:i w:val="1"/>
          <w:iCs w:val="1"/>
          <w:color w:val="auto"/>
        </w:rPr>
        <w:t>Ordinary Shares outstanding prior to exercise of all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128,008,703 Ordinary Shares (as of the date of this prospectus)</w:t>
      </w:r>
    </w:p>
    <w:p>
      <w:pPr>
        <w:spacing w:after="0" w:line="438" w:lineRule="exact"/>
        <w:rPr>
          <w:sz w:val="20"/>
          <w:szCs w:val="20"/>
          <w:color w:val="auto"/>
        </w:rPr>
      </w:pPr>
    </w:p>
    <w:p>
      <w:pPr>
        <w:sectPr>
          <w:pgSz w:w="11900" w:h="16838" w:orient="portrait"/>
          <w:cols w:equalWidth="0" w:num="2">
            <w:col w:w="2700" w:space="160"/>
            <w:col w:w="8140"/>
          </w:cols>
          <w:pgMar w:left="440" w:top="102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Ordinary Shares outstanding</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assuming exercise of all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144,508,703 Ordinary Shares, based on total shares outstanding as of the date of this prospectus</w:t>
      </w:r>
    </w:p>
    <w:p>
      <w:pPr>
        <w:spacing w:after="0" w:line="434" w:lineRule="exact"/>
        <w:rPr>
          <w:sz w:val="20"/>
          <w:szCs w:val="20"/>
          <w:color w:val="auto"/>
        </w:rPr>
      </w:pPr>
    </w:p>
    <w:p>
      <w:pPr>
        <w:sectPr>
          <w:pgSz w:w="11900" w:h="16838" w:orient="portrait"/>
          <w:cols w:equalWidth="0" w:num="2">
            <w:col w:w="2700" w:space="160"/>
            <w:col w:w="8140"/>
          </w:cols>
          <w:pgMar w:left="440" w:top="1022" w:right="4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Exercise Price of Warrants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entitles the holder to one Ordinary Share at a price of $11.50 per share, subject to adjustment, terms and limitations as described in the Warrant Agreement, as amended by the Assignment, Assumption and Amendment Agreement, dated February 13, 2025, by and among RFAC, the Company and Continental Stock Transfer and Trust Company (the “Amended Warrant Agreement”).</w:t>
      </w:r>
    </w:p>
    <w:p>
      <w:pPr>
        <w:spacing w:after="0" w:line="178" w:lineRule="exact"/>
        <w:rPr>
          <w:sz w:val="20"/>
          <w:szCs w:val="20"/>
          <w:color w:val="auto"/>
        </w:rPr>
      </w:pPr>
    </w:p>
    <w:p>
      <w:pPr>
        <w:sectPr>
          <w:pgSz w:w="11900" w:h="16838" w:orient="portrait"/>
          <w:cols w:equalWidth="0" w:num="2">
            <w:col w:w="2140" w:space="720"/>
            <w:col w:w="8140"/>
          </w:cols>
          <w:pgMar w:left="440" w:top="102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Use of Proceeds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$189.75 million from the exercise of Warrants, assuming the exercise in full of all of Warrants for cash. We expect to use the net proceeds from the exercise of these securities, if any, for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However, we do not expect to rely on the cash exercise of the Warrants to fund our operations. Instead, we intend to rely on our primary sources of cash discussed elsewhere in this prospectus to continue to support our operations. The exercise price of the Warrants is $11.50 per share. The likelihood that Warrant holders will exercise their Warrants, and therefore the amount of cash proceeds that we would receive, are dependent upon the trading price of our Ordinary Shares. If the trading price for our Ordinary Shares is less than $11.50 per share, we believe holders of our Warrants will be unlikely to exercise their Warrants. As the closing price of our Ordinary Shares was $0.45 as of May 15, 2026, we believe that holders of the Warrants are currently unlikely to exercise their Warrants.</w:t>
      </w:r>
    </w:p>
    <w:p>
      <w:pPr>
        <w:spacing w:after="0" w:line="194" w:lineRule="exact"/>
        <w:rPr>
          <w:sz w:val="20"/>
          <w:szCs w:val="20"/>
          <w:color w:val="auto"/>
        </w:rPr>
      </w:pPr>
    </w:p>
    <w:p>
      <w:pPr>
        <w:sectPr>
          <w:pgSz w:w="11900" w:h="16838" w:orient="portrait"/>
          <w:cols w:equalWidth="0" w:num="2">
            <w:col w:w="2140" w:space="720"/>
            <w:col w:w="8140"/>
          </w:cols>
          <w:pgMar w:left="440" w:top="1022" w:right="459" w:bottom="1440" w:gutter="0" w:footer="0" w:header="0"/>
          <w:type w:val="continuous"/>
        </w:sectPr>
      </w:pPr>
    </w:p>
    <w:p>
      <w:pPr>
        <w:ind w:left="5460" w:right="2600" w:hanging="5455"/>
        <w:spacing w:after="0" w:line="908" w:lineRule="auto"/>
        <w:tabs>
          <w:tab w:leader="none" w:pos="3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1,125,000 ordinary shares underlying the April 2026 Warrant (defined below) that are outstanding.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-365125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pacing w:after="0" w:line="227" w:lineRule="exact"/>
        <w:rPr>
          <w:sz w:val="20"/>
          <w:szCs w:val="20"/>
          <w:color w:val="auto"/>
        </w:rPr>
      </w:pPr>
    </w:p>
    <w:p>
      <w:pPr>
        <w:ind w:left="160" w:hanging="161"/>
        <w:spacing w:after="0" w:line="267" w:lineRule="auto"/>
        <w:rPr>
          <w:sz w:val="20"/>
          <w:szCs w:val="20"/>
          <w:color w:val="auto"/>
        </w:rPr>
      </w:pPr>
      <w:r>
        <w:rPr>
          <w:rFonts w:ascii="Times New Roman" w:cs="Times New Roman" w:eastAsia="Times New Roman" w:hAnsi="Times New Roman"/>
          <w:sz w:val="18"/>
          <w:szCs w:val="18"/>
          <w:i w:val="1"/>
          <w:iCs w:val="1"/>
          <w:color w:val="auto"/>
        </w:rPr>
        <w:t>The Ordinary Shares that may be offered and sold from time to time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left="340" w:right="20" w:hanging="320"/>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83,456,793 Ordinary Shares, which consist of (i) 80,581,793 Ordinary Shares issued to Epicsoft Ventures in connection with the Business Combination, at an implied purchase price of $10.00 per share; and (ii) 2,875,000 Ordinary Shares issued to the Sponsor, which were originally purchased by the Sponsor at approximately $0.009 per share;</w:t>
      </w:r>
    </w:p>
    <w:p>
      <w:pPr>
        <w:spacing w:after="0" w:line="179" w:lineRule="exact"/>
        <w:rPr>
          <w:rFonts w:ascii="Times New Roman" w:cs="Times New Roman" w:eastAsia="Times New Roman" w:hAnsi="Times New Roman"/>
          <w:sz w:val="18"/>
          <w:szCs w:val="18"/>
          <w:color w:val="auto"/>
        </w:rPr>
      </w:pPr>
    </w:p>
    <w:p>
      <w:pPr>
        <w:jc w:val="both"/>
        <w:ind w:left="340" w:right="20" w:hanging="320"/>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4,450,500 Ordinary Shares issuable upon the exercise of 4,450,500 Warrants, which were originally issued concurrently with the initial public offering of RFAC in a private placement to the Sponsor at a price of $1.00 per warrant, with each Warrant exercisable for one Ordinary Share at $11.50 per share; and</w:t>
      </w:r>
    </w:p>
    <w:p>
      <w:pPr>
        <w:spacing w:after="0" w:line="175" w:lineRule="exact"/>
        <w:rPr>
          <w:rFonts w:ascii="Times New Roman" w:cs="Times New Roman" w:eastAsia="Times New Roman" w:hAnsi="Times New Roman"/>
          <w:sz w:val="18"/>
          <w:szCs w:val="18"/>
          <w:color w:val="auto"/>
        </w:rPr>
      </w:pPr>
    </w:p>
    <w:p>
      <w:pPr>
        <w:jc w:val="both"/>
        <w:ind w:left="340" w:right="20" w:hanging="320"/>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549,500 Ordinary Shares issuable upon the exercise of 549,500 Warrants, which were originally issued concurrently with the initial public offering of RFAC in a private placement to EBC at a price of $1.00 per warrant, with each Warrant exercisable for Ordinary Share at $11.50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-2162810</wp:posOffset>
            </wp:positionV>
            <wp:extent cx="7127875" cy="4701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4701540"/>
                    </a:xfrm>
                    <a:prstGeom prst="rect">
                      <a:avLst/>
                    </a:prstGeom>
                    <a:noFill/>
                  </pic:spPr>
                </pic:pic>
              </a:graphicData>
            </a:graphic>
          </wp:anchor>
        </w:drawing>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Selling Shareholders will determine when and how they will dispose of the securities being registered for resale by the Selling Shareholders registered under this prospectus. The securities offered by this prospectus may be offered and sold at prevailing market prices, privately negotiated prices or such other prices as the Selling Shareholders may determine.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ectPr>
          <w:pgSz w:w="11900" w:h="16838" w:orient="portrait"/>
          <w:cols w:equalWidth="0" w:num="2">
            <w:col w:w="2600" w:space="260"/>
            <w:col w:w="8140"/>
          </w:cols>
          <w:pgMar w:left="440" w:top="1049" w:right="459" w:bottom="1440" w:gutter="0" w:footer="0" w:header="0"/>
        </w:sectPr>
      </w:pPr>
    </w:p>
    <w:p>
      <w:pPr>
        <w:spacing w:after="0"/>
        <w:tabs>
          <w:tab w:leader="none" w:pos="2840" w:val="left"/>
        </w:tabs>
        <w:rPr>
          <w:sz w:val="20"/>
          <w:szCs w:val="20"/>
          <w:color w:val="auto"/>
        </w:rPr>
      </w:pPr>
      <w:r>
        <w:rPr>
          <w:rFonts w:ascii="Times New Roman" w:cs="Times New Roman" w:eastAsia="Times New Roman" w:hAnsi="Times New Roman"/>
          <w:sz w:val="18"/>
          <w:szCs w:val="18"/>
          <w:i w:val="1"/>
          <w:iCs w:val="1"/>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of the proceeds from the sale of the securities by the Selling Shareholders.</w:t>
      </w:r>
    </w:p>
    <w:p>
      <w:pPr>
        <w:spacing w:after="0" w:line="225"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i w:val="1"/>
          <w:iCs w:val="1"/>
          <w:color w:val="auto"/>
        </w:rPr>
        <w:t>Market for Ordinary Shares and</w:t>
      </w:r>
      <w:r>
        <w:rPr>
          <w:sz w:val="20"/>
          <w:szCs w:val="20"/>
          <w:color w:val="auto"/>
        </w:rPr>
        <w:tab/>
      </w:r>
      <w:r>
        <w:rPr>
          <w:rFonts w:ascii="Times New Roman" w:cs="Times New Roman" w:eastAsia="Times New Roman" w:hAnsi="Times New Roman"/>
          <w:sz w:val="18"/>
          <w:szCs w:val="18"/>
          <w:color w:val="auto"/>
        </w:rPr>
        <w:t>Our Ordinary Shares are listed on The Nasdaq Global Select Market under the trading symbol “GCL” and the</w:t>
      </w:r>
    </w:p>
    <w:p>
      <w:pPr>
        <w:spacing w:after="0" w:line="29" w:lineRule="exact"/>
        <w:rPr>
          <w:sz w:val="20"/>
          <w:szCs w:val="20"/>
          <w:color w:val="auto"/>
        </w:rPr>
      </w:pPr>
    </w:p>
    <w:p>
      <w:pPr>
        <w:ind w:left="160"/>
        <w:spacing w:after="0"/>
        <w:tabs>
          <w:tab w:leader="none" w:pos="2840" w:val="left"/>
        </w:tabs>
        <w:rPr>
          <w:sz w:val="20"/>
          <w:szCs w:val="20"/>
          <w:color w:val="auto"/>
        </w:rPr>
      </w:pPr>
      <w:r>
        <w:rPr>
          <w:rFonts w:ascii="Times New Roman" w:cs="Times New Roman" w:eastAsia="Times New Roman" w:hAnsi="Times New Roman"/>
          <w:sz w:val="18"/>
          <w:szCs w:val="18"/>
          <w:i w:val="1"/>
          <w:iCs w:val="1"/>
          <w:color w:val="auto"/>
        </w:rPr>
        <w:t>Warrants</w:t>
      </w:r>
      <w:r>
        <w:rPr>
          <w:sz w:val="20"/>
          <w:szCs w:val="20"/>
          <w:color w:val="auto"/>
        </w:rPr>
        <w:tab/>
      </w:r>
      <w:r>
        <w:rPr>
          <w:rFonts w:ascii="Times New Roman" w:cs="Times New Roman" w:eastAsia="Times New Roman" w:hAnsi="Times New Roman"/>
          <w:sz w:val="18"/>
          <w:szCs w:val="18"/>
          <w:color w:val="auto"/>
        </w:rPr>
        <w:t>Warrants are listed on The Nasdaq Capital Market under the trading symbol “GCLWW.”</w:t>
      </w:r>
    </w:p>
    <w:p>
      <w:pPr>
        <w:spacing w:after="0" w:line="205"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i w:val="1"/>
          <w:iCs w:val="1"/>
          <w:color w:val="auto"/>
        </w:rPr>
        <w:t>Risk factors</w:t>
      </w:r>
      <w:r>
        <w:rPr>
          <w:sz w:val="20"/>
          <w:szCs w:val="20"/>
          <w:color w:val="auto"/>
        </w:rPr>
        <w:tab/>
      </w:r>
      <w:r>
        <w:rPr>
          <w:rFonts w:ascii="Times New Roman" w:cs="Times New Roman" w:eastAsia="Times New Roman" w:hAnsi="Times New Roman"/>
          <w:sz w:val="18"/>
          <w:szCs w:val="18"/>
          <w:color w:val="auto"/>
        </w:rPr>
        <w:t>Any investment in the securities offered hereby is speculative and involves a high degree of risk. You should</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where otherwise stated, the number of Ordinary Shares that will be outstanding immediately before this offering excludes 16,500,000 Ordinary Shares underlying the Warrants that are outstanding and the 1,125,000 Ordinary Shares underlying the April 2026 Warrant (defined below) that are outstanding.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49" w:right="45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risks. Before making a decision to invest in our securities, you should carefully consider the following risks and those discussed in our then-most recent annual report on Form 20-F, and any updates to those risk factors in our reports on Form 6-K incorporated by reference in this prospectus, together with all of the other information appearing or incorporated by reference in this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Additional risks not presently known to us or that we currently deem immaterial may also impair our business operations. The trading price and value of our securities could decline due to any of these risks, and you may lose all or part of your investment. This prospectus also contains forward-looking statements that involve risks and uncertainties. See the section entitled “Cautionary Note Regarding Forward-Looking Statements.”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currently not in compliance with certain Nasdaq continued listing requirements; and if we are unable to regain compliance with Nasdaq’s continued listing requirements, our securities will be subject to delisting.</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17, 2026, the Company received a notice (the “Bid Price Notice”) from Nasdaq stating that the Company’s ordinary shares failed to comply with the minimum $1.00 per share requirement for continued listing on the Nasdaq under Nasdaq Listing Rule 5450(a)(1) (the “Minimum Bid Price Rule”). Pursuant to Nasdaq Listing Rule 5810(c)(3)(A), the Company has an initial period of 180 calendar days, or until September 14, 2026, to regain compliance (the “Bid Price Compliance Period”). Pursuant to the Bid Price Notice, if at any time during the Compliance Period the closing bid price of the ordinary shares is at least $1.00 for a minimum of ten consecutive business days, Nasdaq will provide the Company with written confirmation of compliance and such matter will be closed.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Company fails to regain compliance with the Minimum Bid Price Rule during the Bid Price Compliance period, the Company may consider applying to transfer its securities from The Nasdaq Global Select Market to The Nasdaq Capital Market, provided that the Company meets the applicable market value of publicly held shares required for continued listing and all other applicable requirements for initial listing on The Nasdaq Capital Market (except for the bid price requirement). Such transfer would provide the Company with an additional 180 calendar days, or until March 15, 2027, to regain compliance. However, there can be no assurance that the Company would be eligible for the additional 180 calendar day compliance period, if applicable, or that the Nasdaq staff would grant the Company’s request for continued listing. If we are unable to regain compliance with any of these continued listing requirements, our securities will be subject to delisting.</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Sales of a substantial number of our securities in the public market by our existing shareholders could cause the price of our Ordinary Shares and Warrants to fall, and certain Selling Shareholders can earn a positive rate of return on their investment, even if other shareholders experience a negative rate of return.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the Ordinary Shares and/or Warrants in the public market or the perception that these sales could occur, could adversely affect the market price of the Ordinary Shares and Warrants and could materially impair our ability to raise capital through equity offerings in the future.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relates to, among other things, the issuance from time to time by us of up to 16,500,000 Ordinary Shares, which consist of (i) 11,500,000 Ordinary Shares issuable upon the exercise of 11,500,000 Warrants, which were originally issued in the initial public offering of RFAC and (ii) 5,000,000 Ordinary Shares issuable upon the exercise of 5,000,000 Warrants, which were originally issued as RFAC Private Placement Warrants to the Sponsor and EBC.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Shareholders of (a) up to 83,456,793 Ordinary Shares, which consist of (i) 80,581,793 Ordinary Shares issued to Epicsoft Ventures in connection with the Business Combination (as defined below) at an implied purchase price of $10.00 per share; (ii) 2,875,000 Ordinary Shares issued to the Sponsor, which were originally purchased by the Sponsor at approximately $0.009 per share;</w:t>
      </w:r>
    </w:p>
    <w:p>
      <w:pPr>
        <w:spacing w:after="0" w:line="1" w:lineRule="exact"/>
        <w:rPr>
          <w:sz w:val="20"/>
          <w:szCs w:val="20"/>
          <w:color w:val="auto"/>
        </w:rPr>
      </w:pPr>
    </w:p>
    <w:p>
      <w:pPr>
        <w:jc w:val="both"/>
        <w:ind w:firstLine="8"/>
        <w:spacing w:after="0" w:line="253" w:lineRule="auto"/>
        <w:tabs>
          <w:tab w:leader="none" w:pos="2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4,450,500 Ordinary Shares issuable upon the exercise of 4,450,500 Warrants, which were originally issued concurrently with the initial public offering of RFAC in a private placement to the Sponsor at a price of $1.00 per warrant, with each Warrant exercisable for one Ordinary Share at $11.50 per share; and (c) up to 549,500 Ordinary Shares issuable upon the exercise of 549,500 Warrants, which were originally issued concurrently with the initial public offering of RFAC in a private placement to EBC at a price of $1.00 per warrant, with each Warrant exercisable for one Ordinary Share at $11.50 per share.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prospectus, our issued share capital consisted of 130,135,432 Ordinary Shares and 16,500,000 Warrants.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holders of 1,522,973 shares of RFAC Common Stock exercised their right to redeem their shares for cash at a redemption price of approximately $11.54 per share, for an aggregate redemption amount of $17.6 million, representing approximately 96.7% of the total shares of RFAC Common Stock then held by public stockholders.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so long as the effective registration statement of which this prospectus forms a part is available for use, Epicsoft Ventures and the Sponsor, collectively the beneficial owners of 83,456,793 Ordinary Shares, constituting approximately 65.2% of our issued and outstanding Ordinary Shares as of the date of this prospectus, can sell under this prospectus (assuming all Warrants are exercised in full), up to 87,907,293 Ordinary Shares constituting approximately 68.7% of the issued and outstanding Ordinary Shares as of the date of this prospectus. Given the substantial number of Ordinary Shares being registered for potential resale by the Selling Shareholders pursuant to this prospectus, the sale of shares by the Selling Shareholders, or the perception in the market that the holders of a large number of our Ordinary Shares intend to sell their shares, could increase the volatility of, or result in a significant decline in, the public trading price of the Ordinary Shares.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Sales of a substantial number of Ordinary Shares in the public market by the Selling Shareholders and/or by our other existing shareholders, or the perception that those sales might occur, could result in a significant decline in the public trading price of our Ordinary Shares and could impair our ability to raise capital through the sale of additional equity securities. Because the prices at which certain Selling Shareholders acquired the securities that they may sell pursuant to this prospectus may be lower than that of our public shareholders, certain Selling Shareholders may still experience a positive rate of return on the securities that they sell pursuant to this prospectus, and be incentivized to sell such shares, when our public shareholders may not experience a similar rate of return. Based on the closing price of our Ordinary Shares of $0.45 as of May 15, 2026, the Sponsor (with respect to the Sponsor Founder shares) may experience potential profit of up to $0.441 per share, or an aggregate of up to approximately $1.27 million. Accordingly, such Selling Shareholders may have an incentive to sell their securities even if the trading price is lower than the price at which our public shareholders purchased their securities. Holders of Warrants may experience potential profit if the price of the Company’s Ordinary Shares exceeds $12.50 per share. In connection with the initial public offering of RFAC, RFAC’s initial public shareholders acquired RFAC Public Units at a price of $10.00 per unit, each of which comprises one share of RFAC Common Stock, one RFAC Warrant and one RFAC Right, and trading price of our Ordinary Shares have fluctuated, and may continue to fluctuate, following the closing of the Business Combination. Epicsoft Ventures (with respect to the shares issued to Epicsoft Ventures in connection with the Business Combination) may experience potential profit if the price of the Company’s Ordinary Shares exceeds $10.00 per share. As a result, our public shareholders may not be able to achieve the same returns as Epicsoft Ventures, the Sponsor or EBC, or even any positive return at all, on the Ordinary Shares if they sell our Ordinary Shares in the market at the then-prevailing market prices.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Shareholders pursuant to this prospectus will be sold by the Selling Shareholders for their respective accounts. We will not receive any of the proceeds from these sales.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$189.75 million from the exercise of the Warrants, assuming the exercise in full of all of the Warrants. We expect to use the net proceeds from the exercise of these securities, if any, for general corporate purposes. We will have broad discretion over the use of proceeds from the exercise of these securities. There is no assurance that the holders of the Warrants will elect to exercise any or all of such Warrants. To the extent that any of these Warrants are exercised on a “cashless basis,” the amount of cash we would receive from the exercise of the Warrants will decrease. See “</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for more details.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no assurance that the holders of the Warrants will elect to exercise any or all of such Warrants. The exercise price of the Warrants is $11.50 per share. The likelihood that warrant holders will exercise the Warrants, and therefore the amount of cash proceeds that we would receive, is dependent upon the trading price of our Ordinary Shares. If the trading price for our Ordinary Shares is less than $11.50 per share, we believe holders of the Warrants will be unlikely to exercise their respective securities. As the closing price of our Ordinary Shares was $0.45 as of May 15, 2026, we believe that holders of the Warrants are currently unlikely to exercise their respective securities. There is no guarantee that the Warrants will be in the money prior to their expiration, and as such, the Warrants may expire worthless and we may receive no proceeds from the exercise of these securities. To the extent that any of the Warrants are exercised on a “cashless basis,” the amount of cash we would receive from the exercise of the respective securities will decrease. We do not expect to rely on the cash exercise of Warrants to fund our operations. Instead, we intend to rely on our primary sources of cash discussed elsewhere in this prospectus to continue to support our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consequences of the ownership and disposition of Ordinary Shares for a U.S. Holder (as defined below). This discussion address only U.S. Holders that acquire Ordinary Shares in this offering. This discussion is for general information purposes only and does not purport to be a complete analysis or listing of all potential U.S. federal income tax consequences that may apply to a U.S. holder as a result of the ownership and disposition of Ordinary Shares.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discussion is based on provisions of the U.S. Internal Revenue Code of 1986, as amended (the “Code”), the U.S. Treasury Regulations promulgated thereunder (whether final, temporary, or proposed) (the “Treasury Regulations”), published administrative rulings of the IRS, and judicial decisions, all as in effect on the date hereof. Any of the authorities on which this summary is based could be changed in a material and adverse manner at any time, and any such change could be applied on a retroactive or prospective basis which could affect the U.S. federal income tax considerations described in this summary.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U.S. Holders should consult their own tax advisors regarding such tax consequences in light of their particular circumstances.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sought any rulings from the IRS with respect to the statements made and the positions or conclusions described in this summary; thus, there can be no assurance that the IRS will not challenge the U.S. federal income tax treatment described below or that, if challenged, such treatment will be sustained by a court.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summary is limited to considerations relevant to U.S. Holders that hold Ordinary Shares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or 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 or holders that are traders in securities who elect to apply a mark-to-market method of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tax-deferred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 partnerships or other pass-through entities or investors in such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that is not a U.S.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shares of Ordinary Shares through the issuance of restricted stock under an equity incentive plan or through a tax-qualified retirement plan or otherwise as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(directly or through attribution) 5% or more (by vote or value) of the issued shares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officers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Warrants or other rights to acquire Ordinary Shares;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holding Ordinary Shares as a position in a “straddle,” as part of a “synthetic security” or “hedge,” as part of a “conversion transaction,” or other integrated investment or risk reduction transaction;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in this prospectus, the term “U.S. Holder” means a beneficial owner of Ordinary Shares for U.S. federal income tax purposes: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classified as a corporation for U.S. federal income tax purposes) that is created or organized in or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that is treated as a partnership for U.S. federal income tax purposes, holds Ordinary Shares, the U.S. federal income tax treatment of a partner in such partnership will generally depend on the status of the partner and the activities of the partnership. This discussion does not address the tax consequences to any such partner or partnership. A holder that is a partnership and the partners in such partnership should consult their own tax advisors with regard to the U.S. federal income tax consequences of the ownership and disposition of Ordinary Shares.</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THIS SUMMARY DOES NOT PURPORT TO BE A COMPREHENSIVE ANALYSIS OR DESCRIPTION OF ALL POTENTIAL U.S. FEDERAL INCOME TAX CONSEQUENCES OF THE OWNERSHIP AND DISPOSITION OF ORDINARY SHARES. IN ADDITION, THE U.S. FEDERAL INCOME TAX TREATMENT OF THE BENEFICIAL OWNERS OF ORDINARY SHARES MAY BE AFFECTED BY MATTERS NOT DISCUSSED HEREIN AND DEPENDS IN SOME INSTANCES ON DETERMINATIONS OF FACT AND INTERPRETATIONS OF COMPLEX PROVISIONS OF U.S. FEDERAL INCOME TAX LAW FOR WHICH NO CLEAR PRECEDENT OR AUTHORITY MAY BE AVAILABLE. HOLDERS SHOULD CONSULT WITH THEIR TAX ADVISORS REGARDING THE PARTICULAR TAX CONSEQUENCES TO THEM OF THE OWNERSHIP AND DISPOSITION OF ORDINARY SHARES, INCLUDING THE APPLICABILITY AND EFFECTS OF U.S. FEDERAL, STATE, LOCAL, AND OTHER TAX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Treatment of PubCo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corporation is generally considered for U.S. federal income tax purposes to be a tax resident in the jurisdiction of its organization and incorporation. Accordingly, under generally applicable U.S. federal income tax rules, PubCo, which is incorporated under the laws of the Cayman Islands,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Section 7874 of the Code,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a U.S. corporation (including through the acquisition of all of the outstanding shares of the U.S. corporation); (ii) the non-U.S. corporation’s “expanded affiliate group” does not have “substantial business activities” in the non-U.S. corporation’s country of organization or incorporation and (iii) after the acquisition, the former shareholders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“ownership test”). The ownership test in clause (iii) above is modified with respect to potential “third-country transactions” such that the ownership test will be met if, after the acquisition, the former shareholders of the acquired U.S. corporation hold at least 60% (by either vote or value) of the shares of the non-U.S. acquiring corporation by reason of holding shares in the U.S. acquired corporation (as modified, the “modified ownership test”). Because the Business Combination was a potential third-country transaction, the modified ownership test applied to determine whether PubCo is treated as a U.S. corporation under Section 7874 of the Code.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purposes of Section 7874 of the Code, the first two conditions described above were expected be met with respect to the Business Combination because PubCo will acquire indirectly all of the assets of RFAC through the SPAC Merger, and PubCo, including its “expanded affiliate group,” was not expected to satisfy the substantial business activities test upon consummation of the Business Combination. As a result, whether Section 7874 will apply to cause PubCo to be treated as a U.S. corporation for U.S. federal income tax purposes following the Business Combination should depend on the satisfaction of the modified ownership test.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of the Code and the Treasury Regulations promulgated thereunder, and certain factual assumptions, the Section 7874 ownership percentage of the RFAC stockholders in PubCo should be less than 60%. Accordingly, PubCo is not expected to be treated as a U.S. corporation for U.S. federal income tax purposes under Section 7874 of the Code. However, the calculations for determining share ownership for purposes of the ownership test under Section 7874 of the Code are complex, subject to detailed rules and regulations (the application of which is uncertain in various respects and could be impacted by changes to applicable rules and regulations under U.S. federal income tax laws, with possible retroactive effect), and subject to certain factual uncertainties. Furthermore, for purposes of determining the ownership percentage of RFAC stockholders for purposes of Section 7874, among other adjustments required to be taken into account, RFAC stockholders will be deemed to own an amount of PubCo Ordinary Shares in respect to certain redemptions by RFAC prior to the SPAC Merger. Accordingly, given the inherently factual nature of the analysis, neither RFAC nor PubCo has sought a legal opinion from counsel in respect of the potential applicability of Section 7874 to the Business Combination, and there can be no assurance that the IRS would not assert a contrary position to those described above or that such an assertion would not be sustained by a court.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PubCo were to be treated as a U.S. corporation for U.S. federal income tax purposes, it could be subject to substantial liability for additional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and the gross amount of any dividend payments to its non-U.S. investors could be subject to U.S. withholding tax.</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PubCo will not be treated as a U.S. corporation for U.S. federal income tax purposes under Section 7874 of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Ownership and Disposition of 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on Ordinary Shares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 </w:t>
      </w:r>
      <w:r>
        <w:rPr>
          <w:rFonts w:ascii="Times New Roman" w:cs="Times New Roman" w:eastAsia="Times New Roman" w:hAnsi="Times New Roman"/>
          <w:sz w:val="18"/>
          <w:szCs w:val="18"/>
          <w:i w:val="1"/>
          <w:iCs w:val="1"/>
          <w:color w:val="auto"/>
        </w:rPr>
        <w:t>Passive Foreign Investment Company Status</w:t>
      </w:r>
      <w:r>
        <w:rPr>
          <w:rFonts w:ascii="Times New Roman" w:cs="Times New Roman" w:eastAsia="Times New Roman" w:hAnsi="Times New Roman"/>
          <w:sz w:val="18"/>
          <w:szCs w:val="18"/>
          <w:color w:val="auto"/>
        </w:rPr>
        <w:t>,” a U.S. Holder generally will be required to include in gross income any distribution of cash or property paid on Ordinary Shares that is treated as a dividend for U.S. federal income tax purposes. A distribution on such shares generally will be treated as a dividend for U.S. federal income tax purposes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Dividends received by non-corporate U.S. Holders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The Treasury guidance indicates that shares listed on the Nasdaq will be considered readily tradable on an established securities market in the United States. Although the Ordinary Shares are currently listed on the Nasdaq, there can be no assurance that the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we will not constitute a qualified foreign corporation for purposes of these rules if we are a PFIC for the taxable year in which we pay a dividend or for the preceding taxable year. See the discussion below under “— </w:t>
      </w:r>
      <w:r>
        <w:rPr>
          <w:rFonts w:ascii="Times New Roman" w:cs="Times New Roman" w:eastAsia="Times New Roman" w:hAnsi="Times New Roman"/>
          <w:sz w:val="18"/>
          <w:szCs w:val="18"/>
          <w:i w:val="1"/>
          <w:iCs w:val="1"/>
          <w:color w:val="auto"/>
        </w:rPr>
        <w:t>Passive Foreign Investment Company Status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 of any dividend paid in foreign currency will be the U.S. dollar value of the foreign currency distributed by us, calculated by reference to the spot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To the extent that the amount of any distribution made by us on the Ordinary Shares exceeds our current and accumulated earnings and profits for a taxable year (as determined under U.S. federal income tax principles), the distribution will first be treated as a tax-free return of capital, causing a reduction in the adjusted basis of the U.S. Holder’s Ordinary Shares, and to the extent the amount of the distribution exceeds the U.S. Holder’s tax basis, the excess will be taxed as capital gain recognized on a sale or exchange as described below under “— </w:t>
      </w:r>
      <w:r>
        <w:rPr>
          <w:rFonts w:ascii="Times New Roman" w:cs="Times New Roman" w:eastAsia="Times New Roman" w:hAnsi="Times New Roman"/>
          <w:sz w:val="18"/>
          <w:szCs w:val="18"/>
          <w:i w:val="1"/>
          <w:iCs w:val="1"/>
          <w:color w:val="auto"/>
        </w:rPr>
        <w:t>Sale, Exchange, Redemption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However, we may not calculate earnings and profits in accordance with U.S. federal income tax principles. In such event, a U.S.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expect to generally treat distributions we make as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or Other Taxable Disposition of Ordinary Shares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 Passive Foreign Investment Company Status</w:t>
      </w:r>
      <w:r>
        <w:rPr>
          <w:rFonts w:ascii="Times New Roman" w:cs="Times New Roman" w:eastAsia="Times New Roman" w:hAnsi="Times New Roman"/>
          <w:sz w:val="18"/>
          <w:szCs w:val="18"/>
          <w:color w:val="auto"/>
        </w:rPr>
        <w:t>,” a U.S. Holder will generally recognize gain or loss on any sale, exchange, or other taxable disposition of Ordinary Shares in an amount equal to the difference between the amount realized on the disposition and such U.S. Holder’s adjusted tax basis in such Ordinary Shares. Any gain or loss recognized by a U.S. Holder on a taxable disposition of Ordinary Shares will generally be capital gain or loss and will be long-term capital gain or loss if the holder’s holding period in the Ordinary Shares exceeds one year at the time of the disposition. Preferential tax rates may apply to long-term capital gains of non-corporate U.S. Holders. The deductibility of capital losses is subject to limitations. Any gain or loss recognized by a U.S. Holder on the sale or exchange of Ordinary Shares will generally be treated as U.S. source gain or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Status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adverse U.S. federal income tax consequences could apply to a U.S. Holder if we are treated as a PFIC for any taxable year during which U.S. Holders hold our securities. A foreign (i.e., non-U.S.) corporation will be classified as a PFIC for U.S. federal income tax purposes if at least 75% of its gross income in a taxable year, including its pro rata share of the gross income of any entity in which it is considered to own at least 25% of the interest by value, is passive income. Alternatively, a foreign corporation will be a PFIC if at least 50% of its assets in a taxable year,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determination of whether we are a PFIC is a fact-intensive determination made on an annual basis applying principles and methodologies that in some circumstances are unclear and subject to varying interpretation.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including this offering. We are not currently expected to be treated as a PFIC for U.S. federal income tax purposes, but this conclusion is a factual determination made annually and, thus, is subject to change. Our U.S. counsel expresses no opinion with respect to our PFIC status for any taxable year. We urge U.S. Holders to consult their own tax advisors regarding the possible application of the PFIC rules in light of their individual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References in this section to “we,” “us,” or “our” are to PubCo, except where the context requires otherwise.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Cayman Islands company incorporated with limited liability and our affairs are governed by the provisions of the PubCo Charter, as amended and restated from time to time, and by the provisions of applicable Cayman Islands law, including the Companies Act and the common law of the Cayman Islands.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company registration number in the Cayman Islands is 403942. As provided in the PubCo Charter, subject to Cayman Islands law, we have full power and authority to carry out any object not prohibited by the laws of the Cayman Islands.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certain terms of our shares as set out more particularly in the of PubCo Charter. Because it is only a summary, it may not contain all the information that is important to you. We urge you to read the applicable provisions of Cayman Islands law and the PubCo Charter carefully and in their entirety because they describe your rights as a holder of PubCo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authorized shares of PubCo consist of US$50,000 divided into 500,000,000 Shares of a par value of US$0.0001 each.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Companies Act, shares in PubCo are deemed to be issued when the name of the shareholder is entered in our register of members. Our register of members will be maintained by our transfer agent Continental Stock Transfer &amp; Trust Company (“Continental Stock”). If (a) information that is required to be entered in the register of members is omitted from the register or is inaccurately entered in the register, or (b) there is unreasonable delay in entering information in the register, without sufficient cause, a shareholder of PubCo, or any person who is aggrieved by the omission, inaccuracy or delay, may apply to the Cayman Islands Court for an order that the register be rectified, and the Court may either refuse the application or order the rectification of the register, and may direct PubCo to pay all costs of the application and any damages the applicant may have sustained.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rights of holders of our Ordinary Shares:</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Ordinary Shares is entitled to one vote per share on all matters to be voted on by shareholders generally, including the appointment of directors;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are entitled to dividends and other distributions, as may be declared from time to time by our board of directors out of funds legally available for that purpose, if any, and pursuant to the PubCo Charter, all dividends unclaimed for three years from the date the dividend became due for payment shall be forfeited and shall revert to PubCo;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our liquidation, dissolution or winding up, the holders of Ordinary Shares will be entitled to share ratably, in the distribution of all of our assets remaining available for distribution after satisfaction of all our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rights, preferences and privileges of Ordinary Shares are subject to, and may be adversely affected by, the rights of the holders of any other class of shares that we may designate in the future having such rights as specified by the board of directors pursuant to the resolution of directors approving the creation of such class of shares. The directors shall not require any approval of the shareholders or any class of shareholders in respect of the creation or issuance of preference shares. However, any related amendment to the PubCo Charter will require approval of our shareholders by way of special resolution (which requires a majority of not less than two-thirds).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Preemption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Ordinary Shares do not have any preemptive or other rights to subscribe for additional shares pursuant to the PubCo Charter.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Meetings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certain relevant provisions of Cayman Islands law and the PubCo Charter in relation to our shareholders’ meetings:</w:t>
      </w:r>
    </w:p>
    <w:p>
      <w:pPr>
        <w:spacing w:after="0" w:line="225"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PubCo may convene meetings of shareholders at such times and in such manner and places within or outside the Cayman Islands as the directors consider necessary or desirable. There is no requirement for PubCo to hold annual general meetings;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holding not less than twenty percent (20%) in par value of the issued shares which as at that date carry the right to vote at general meetings shall have the ability to requisition a general meeting.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convening a meeting of shareholders must give not less than ten days’ clear notice of the proposed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may be represented at a meeting of shareholders by a proxy who may speak and vote on behalf of the shareholder;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may be transacted at a general meeting unless a quorum is present. A quorum is those shareholders present in person or by proxy or by a duly authorised representative holding shares entitled to vote on the business to be transacted which represent not less than one-third of all issued shares, unless PubCo has only one shareholder in which case that shareholder alone constitutes a quorum</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of shareholders is passed by a simple majority of such shareholders as, being entitled to do so, vote in person or, where proxies are allowed, by proxy at a general meeting of the PubCo and where a poll is taken regard shall be had in computing a majority to the number of votes to which each shareholder is entitled by the PubCo Charter.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of shareholders is passed by a majority of not less than two-thirds of such shareholders as, being entitled to do so, vote in person or, where proxies are allowed, by proxy at a general meeting of PubCo of which notice specifying the intention to propose the resolution as a special resolution has been duly given and where a poll is taken regard shall be had in computing a majority to the number of votes to which each shareholder is entitled;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PubCo Charter do not permit the adoption by the shareholders of resolutions in writing. A shareholder resolution must be passed at a meeting of the shareholders.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Shareholders have no general right under the PubCo Charter to bring business before a general meeting of PubCo, save in the case of any shareholders right to requisition a general meeting provided the minimum shareholder requirement is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directors of PubCo may be appointed by an ordinary resolution of the shareholders. Alternatively, the PubCo board of directors may, by the affirmative vote of a simple majority of the directors present and voting at a board meeting appoint any person as a director to fill a casual vacancy on the board or as an addition to the existing board. The PubCo directors are not automatically subject to a term of office and hold office until such time as their office is vacated or where they are removed from office by an ordinary resolution of shareholders or otherwise in accordance with the PubCo Charter. In addition, a director will cease to be a director if, among other things the director (i) becomes bankrupt or makes any arrangement or composition with his or her creditors: (ii) dies or is found to be or becomes of unsound mind within the scope of the PubCo Charter: (iii) resigns his or her office by notice in writing to PubCo; (iv) without special leave of absence from the PubCo Board, is absent from board meetings for a continuous period of 6 months and the PubCo directors resolve that his or her office be vacated; (v) by notice in writing signed by not less than three-fourths of all the PubCo directors in number; or (vi) is removed from office pursuant to any other provision of the PubCo Charter.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color w:val="auto"/>
        </w:rPr>
        <w:t>The officers of PubCo are appointed by and serve at the discretion of the board of directors, and may be removed by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Suits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principle, PubCo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the company to challenge actions where:</w:t>
      </w:r>
    </w:p>
    <w:p>
      <w:pPr>
        <w:spacing w:after="0" w:line="1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the number of votes which have actually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2026 Warrant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28, 2026, the Company issued to an institutional investor a warrant for 1,125,000 shares at an initial exercise price of $8.00 per share (the “April 2026 Warrant”), subject to full-ratchet anti-dilution adjustments and other price protections, in exchange for a portion of the then-outstanding convertible notes issued pursuant to an Amendment, Waiver and Exchange Agreement dated April 28, 2026. This warrant has a term of three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is not complete and is subject to, and is qualified in its entirety by reference to, the provisions of the Warrant Agreement, dated as of March 23, 2022, by and between RFAC and Continental Stock Transfer &amp; Trust Company (the “2022 Warrant Agreement”), which was filed as Exhibit 4.1 to the registration statement of which this prospectus forms a part.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13, 2025, the Company, RFAC and Continental Stock Transfer &amp; Trust Company entered into the Assignment, Assumption and Amendment Agreement (the “Amended Warrant Agreement”), pursuant to which, among other things, effective as of the Effective Time, the Company will assume the obligations of RFAC under the 2022 Warrant Agreement. Pursuant to the Business Combination Agreement and the Amended Warrant Agreement, each issued and outstanding warrant of RFAC sold to the public and to the Sponsor and EBC in a private placement in connection with RFAC’s initial public offering was exchanged for a corresponding warrant exercisable for Ordinary Shares.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Warrants have the same terms as the RFAC Warrants. Each whole Warrant entitles the registered holder to purchase one Ordinary Share at a price of $11.50 per share, subject to adjustment as discussed below, at any time commencing 30 days after the completion of our Business Combination; provided that we have an effective registration statement under the Securities Act covering the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Ordinary Shares. This means only a whole Warrant may be exercised at a given time by a warrant holder. The Warrants will expire five years after the completion of our Business Combination, at 5:00 p.m., New York City time, or earlier upon redemption or liquidation.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 Ordinary Share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Ordinary Share underlying such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registered the Ordinary Shares issuable upon exercise of the Warrants on a Registration Statement on Form S-1 (File No. 333-265353) because the Warrants will become exercisable 30 days after the completion of its Business Combination, which may be within one year of our Initial Public Offering. However, because the Warrants will be exercisable until their expiration date of up to five years after the completion of our Business Combination, in order to comply with the requirements of Section 10(a)(3) of the Securities Act following the consummation of our Business Combination, under the terms of the warrant agreement, we have agreed that, as soon as practicable, but in no event later than 15 business days, after the closing of its Business Combination, we will use our best efforts to file with the SEC a post-effective amendment to the registration statement or a new registration statement covering the registration under the Securities Act of the Ordinary Shares issuable upon exercise of the Warrants and thereafter will use our best efforts to cause the same to become effective within 60 business days following our Business Combination and to maintain a current prospectus relating to the Ordinary Shares issuable upon exercise of the Warrants until the expiration of the Warrants in accordance with the provisions of the warrant agreement. If a registration statement covering the Ordinary Shares issuable upon exercise of the Warrants is not effective by the sixtieth (60th) business day after the closing of our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Ordinary Shares are at the time of any exercise of a Warrant no longer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On April 3, 2025, we registered the Ordinary Shares issuable upon exercise of the these Warrants on a Registration Statement on Form F-1 (File No. 333-265353) which was declared effective by the SEC on April 7,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for cash:</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for any 20 trading days within a 30-trading day period ending three business days before we send to the notice of redemption to the warrant holders.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for cash,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as well as the $11.50 Warrant exercise price after the redemption notice is issued.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Ordinary Shares issuable upon the exercise of our Warrants. If our Management takes advantage of this option, all holders of Warrants would pay the exercise price by surrendering their Warrants for that number of Ordinary Shares equal to the quotient obtained by dividing (x) the product of the number of Ordinary Shares underlying the Warrants, multiplied by the excess of the “fair market value” of our Ordinary Shares (defined below) over the exercise price of the Warrants by (y) the fair market value. The “fair market value” will mean the average closing price of the Ordinary Shares for the five trading days ending on the third trading day prior to the date on which the notice of redemption is sent to the holders of Warrants. If our Management takes advantage of this option, the notice of redemption will contain the information necessary to calculate the number of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if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Ordinary Shares outstanding immediately after giving effect to such exercise.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Ordinary Shares is increased by a share capitalization payable in Ordinary Shares, or by a split-up of common stock or other similar event, then, on the effective date of such share capitalization, split-up or similar event, the number of Ordinary Shares issuable on exercise of each Warrant will be increased in proportion to such increase in the outstanding shares of common stock. A Rights offering to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five trading day period ending on the trading day prior to the first date on which the Ordinary Shares trades on the applicable exchange or in the applicable market, regular way, without the right to receive such Rights.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the holders of Ordinary Shares on account of such Ordinary Shares (or other securities into which the Warrants are convertible), other than (a) as described above, (b) certain ordinary cash dividends, (c) to satisfy the redemption rights of the holders of Ordinary Shares in connection with a proposed Business Combination, or (d) in connection with the redemption of our public shares upon our failure to complete our Business Combination,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will be decreased in proportion to such decrease in the outstanding Ordinary Shares.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if (x) we issue additional Ordinary Shares or equity-linked securities for capital raising purposes in connection with the closing of our Business Combination at an issue price or effective issue price of less than $9.20 per Ordinary Share (with such issue price or effective issue price to be determined in good faith by our board of directors and, in the case of any such issuance to our Sponsor, initial stockholders or their affiliates, without taking into account any Founder Shares held by our Sponsor, initial stockholders or such affiliates, as applicable, prior to such issuance) (the “Newly Issued Price”), (y) the aggregate gross proceeds from such issuances represent more than 60% of the total equity proceeds, and interest thereon, available for the funding of our Business Combination on the date of the consummation of our Business Combination (net of redemptions), and (z) the volume weighted average trading price of our Ordinary Shares during the 20 trading day period starting on the trading day after the day on which we consummate our Business Combination (such price, the “Market Value”) is below $9.20 per share, the exercise price of the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Warrants will be adjusted (to the nearest cent) to be equal to 115% of the higher of the Market Value and the Newly Issued Price, and the $18.00 per share redemption trigger price described below under “Redemption of Warrants” will be adjusted (to the nearest cent) to be equal to 118% of the higher of the Market Value and the Newly Issued Price.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Continental Stock Transfer &amp; Trust Company, as warrant agent, and us. You should review a copy of the warrant agreement, which will be filed as an exhibit to the registration statement of which this Annual Report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Ordinary Shares. After the issuance of Ordinary Shares upon exercise of the Warrants, each holder will be entitled to one vote for each share held of record on all matters to be voted on by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Private Placement Warrants (including the Ordinary Shares issuable upon exercise of the Private Placement Warrants) will not be transferable, assignable or salable until 30 days after the completion of our Business Combination. The Private Placement Warrants have terms and provisions that are identical to those of the Warrants being sold as part of the units in our Initial Public Offering, including as to exercise price, exercisability and exercise period.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holders of Warrants (and Private Placement-equivalent Warrants) elect to exercise them on a cashless basis, they would pay the exercise price by surrendering their Warrants for that number of Ordinary Shares equal to the quotient obtained by dividing (x) the product of the number of Ordinary Shares underlying the Warrants, multiplied by the excess of the “fair market value” (defined below) of the Ordinary Shares over the exercise price of the Warrants by (y) the fair market value. The “fair market value” shall mean the average reported last sale price of the Ordinary Shares for the five trading days ending on the third trading day prior to the date on which the notice of Warrant exercise is sent to the warrant agent.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Ordinary Shares issuable upon exercise of the Warrants freely in the open market, the insiders could be significantly restricted from doing so. As a result, we believe that allowing the holders to exercise such Warrants on a cashless basis is appropriate.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Business Combination, our sponsor or an affiliate of our sponsor or certain of our officers and directors may, but are not obligated to, loan us funds as may be required. The terms of such working capital loans by our sponsor or its affiliates, or our officers and directors, if any, have not been determined and no written agreements exist with respect to such loans. In addition, holders of our Private Placement Warrants are entitled to certain registration rights.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3, 2025, we registered the Ordinary Shares issuable upon exercise of the these Warrants on a Registration Statement on Form F-1 (File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333-265353) which was declared effective by the SEC on April 7,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OCBC Warrant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7, 2025, the Company issued to Oversea-Chinese Banking Corporation Limited (“OCBC”) certain Warrant to Purchase Ordinary Shares of GCL Global Holdings Ltd dated as of July 7, 2025 (the “OCBC Warrant”), in connection with that certain Facility Letter dated as of October 1, 2024, as supplemented by those certain Supplemental Letters dated as of March 12, 2025 and July 7, 2025, between the Holder and Epicsoft Asia Pte. Ltd. (the “Borrower”) which is a wholly-owned subsidiary of the Company for a financing of up to SGD5,000,000 (together, the “Facility Agreement”). On July 29, 2025, the Company and the OCBC entered into Amendment No. 1 to the Warrant (the “Amendment”) to clarify their commercial understanding that none of the terms of the OCBC Warrant shall have any legal effect on the Borrower and/or the Company unless and until the entire SGD 5,000,000 has been disbursed to the Borrower by the Holder under the Facility Agreement; and that the Holder will have no claims for penalties, damages and legal remedies of any kind against either the Company or the Borrower for non-performance of any obligations under the OCBC Warrant. The Amendment also provides that, among other things, until the full amount of SGD5,000,000 is disbursed by OCBC to the Borrower pursuant to the Facility Agreement, (i) the OCBC Warrant shall not be capable of exercise of any kind, and shall remain un-exercisable; and (ii) the Holder will have no rights to Piggyback Registration (as defined in the OCBC Warrant). Under the Amendment, the Company will have six months from the date the full amount of SGD5,000,000 is disbursed to file a registration statement for the public resale of all of the Warrant Shares (as defined in the OCBC Warrant).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9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relates to, among other things, the issuance from time to time by us of up to up to 16,500,000 Ordinary Shares, which consist of (i) up to 11,500,000 Ordinary Shares issuable upon the exercise of 11,500,000 Warrants, which were originally issued as RFAC Public Warrants, and (ii) up to 5,000,000 Ordinary Shares issuable upon the exercise of 5,000,000 Warrants, which were originally issued as RFAC Private Placement Warrants to the Sponsor and EBC.</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Shareholders named in this prospectus or their permitted transferees of (a) up to 83,456,793 Ordinary Shares, which consist of (i) 80,581,793 Ordinary Shares issued to Epicsoft Ventures in connection with the Business Combination at an implied purchase price of $10.00 per share; and (ii) 2,875,000 Ordinary Shares issued to the Sponsor, which were originally purchased by the Sponsor at approximately $0.009 per share; (b) up to 4,450,500 Ordinary Shares issuable upon the exercise of 4,450,500 Warrants, which were originally issued as RFAC Private Placement Warrants to the Sponsor at a price of $1.00 per warrant; and (c) up to 549,500 Ordinary Shares issuable upon the exercise of 549,500 Warrants, which were originally issued as RFAC Private Placement Warrants to EBC at a price of $1.00 per warrant. The Selling Shareholders may from time to time offer and sell any or all of the securities set forth below pursuant to this prospectus.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expiration of a lock-up period which is twelve months after the closing of the Business Combination, and for so long as the effective registration statement of which this prospectus forms a part is available for use, Epicsoft Ventures and the Sponsor, collectively the beneficial owners of 83,456,793 Ordinary Shares, constituting approximately 65.2% of our issued and outstanding Ordinary Shares as of the date of this prospectus, can sell under this prospectus (assuming all Warrants are exercised in full), up to 87,907,293 Ordinary Shares constituting approximately 68.7% of the issued and outstanding Ordinary Shares as of the date of this prospectus. Given the substantial number of Ordinary Shares being registered for potential resale by the Selling Shareholders pursuant to this prospectus, the sale of shares by the Selling Shareholders, or the perception in the market that the holders of a large number of our Ordinary Shares intend to sell their shares, could increase the volatility of, or result in a significant decline in, the public trading price of the Ordinary Shares.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the prices at which certain Selling Shareholders acquired the securities that they may sell pursuant to this prospectus may be lower than that of our public shareholders, certain Selling Shareholders may experience a positive rate of return on the securities that they sell pursuant to this prospectus and be incentivized to sell such shares, when our public shareholders may not experience a similar rate of return. Certain securities being registered for sale pursuant to this prospectus were purchased by certain Selling Shareholders at prices below the current market price of our Ordinary Shares. Based on the closing price of our Ordinary Shares of $0.45 as of May 15, 2026, the Sponsor (with respect to the Sponsor Founder shares) may experience potential profit of up to $0.441 per share, or an aggregate amount of profit of up to approximately $1.27 million. Accordingly, such Selling Shareholders may have an incentive to sell their securities even if the trading price is lower than the price at which our public shareholders purchased their securities. In connection with the initial public offering of RFAC, RFAC’s initial public shareholders acquired RFAC Public Units at a price of $10.00 per unit, each of which comprises one share of RFAC Common Stock, one RFAC Warrant and one RFAC Right, and trading price of our Ordinary Shares have fluctuated, and may continue to fluctuate, following the closing of the Business Combination. Epicsoft Ventures (with respect to the shares issued to Epicsoft Ventures in connection with the Business Combination) may experience potential profit if the price of the Company’s Ordinary Shares exceeds $10.00 per share. As a result, our public shareholders may not be able to achieve the same returns as Epicsoft Ventures, the Sponsor or EBC, or even any positive return at all, on the Ordinary Shares if they sell our Ordinary Shares in the market at the then-prevailing market prices.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we refer to the “Selling Shareholders” in this prospectus, we mean the persons listed in the table below, and their donees, pledgees, transferees, assignees, distributees, successors or other successors-in-interest selling securities received after the date of this prospectus from the Selling Shareholders (as a gift, pledge, partnership distribution or other non-sale related transfer).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Shareholders, the aggregate number of the securities beneficially owned by such Selling Shareholder immediately prior to the offering, the number of the securities that may be sold by the Selling Shareholder under this prospectus and the number of Ordinary Shares that the Selling Shareholders will beneficially own after the securities are sold. The persons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Shareholders will in fact sell any or all of such securities. In addition, the Selling Shareholders may sell, transfer or otherwise dispose of, at any time and from time to time, Ordinary Shares in transactions exempt from the registration requirements of the Securities Act after the date of this prospectus, subject to applicable law.</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Shareholder information for each additional Selling Shareholder, if any, will be set forth by prospectus supplement to the extent required prior to the time of any offer or sale of such Selling Shareholder’s securities pursuant to this prospectus. Any prospectus supplement may add, update, substitute, or change the information contained in this prospectus, including the identity of each Selling Shareholder and the number of Ordinary Shares registered on its behalf. A Selling Shareholder may sell all, some or none of such securities in this offering.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calculations in the table below are based on 128,008,703 Ordinary Shares and 16,500,000 Warrants outstanding as of the date of this prospectus.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Sale in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after this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Offering</w:t>
            </w:r>
          </w:p>
        </w:tc>
        <w:tc>
          <w:tcPr>
            <w:tcW w:w="24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Offering</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56"/>
        </w:trPr>
        <w:tc>
          <w:tcPr>
            <w:tcW w:w="4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Epicsoft Ventures Ltd.</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80,581,793</w:t>
            </w:r>
          </w:p>
        </w:tc>
        <w:tc>
          <w:tcPr>
            <w:tcW w:w="7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80,581,793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RF Dynamic LLC</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7,325,500</w:t>
            </w:r>
          </w:p>
        </w:tc>
        <w:tc>
          <w:tcPr>
            <w:tcW w:w="72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7,325,500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EarlyBirdCapital Inc.</w:t>
            </w:r>
            <w:r>
              <w:rPr>
                <w:rFonts w:ascii="Times New Roman" w:cs="Times New Roman" w:eastAsia="Times New Roman" w:hAnsi="Times New Roman"/>
                <w:sz w:val="29"/>
                <w:szCs w:val="29"/>
                <w:color w:val="auto"/>
                <w:vertAlign w:val="superscript"/>
              </w:rPr>
              <w:t>(3)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549,500</w:t>
            </w:r>
          </w:p>
        </w:tc>
        <w:tc>
          <w:tcPr>
            <w:tcW w:w="7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34" w:lineRule="exact"/>
        <w:rPr>
          <w:sz w:val="20"/>
          <w:szCs w:val="20"/>
          <w:color w:val="auto"/>
        </w:rPr>
      </w:pPr>
    </w:p>
    <w:p>
      <w:pPr>
        <w:ind w:left="340" w:hanging="332"/>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of 80,581,793 Ordinary Shares issued to Epicsoft Ventures Ltd. as merger consideration. The address of Epicsoft Ventures is 29 Tai Seng Ave., #02-01, Singapore 534119.</w:t>
      </w:r>
    </w:p>
    <w:p>
      <w:pPr>
        <w:jc w:val="both"/>
        <w:ind w:left="34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is comprised of (i) 2,875,000 Ordinary Shares issued to the Sponsor in exchange for the same number of shares of RFAC Common Stock held by the Sponsor immediately prior to the Closing of Business Combination; and (ii) up to 4,450,500 Ordinary Shares issuable upon exercise of 4,450,500 Warrants. RF Dynamic LLC is the record holder of the securities reported herein. Tse Meng Ng is the sole member and manager of RF Dynamic LLC and has voting and investment discretion with respect to the securities held of record by the Sponsor. Tse Meng Ng disclaims any beneficial ownership of any shares held by the Sponsor except to the extent of his respective pecuniary interest therein. The business address of RF Dynamic LLC is 111 Somerset Road, #05-06, Singapore 238164.</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is comprised of 549,500 Ordinary Shares issuable upon exercise of 549,500 Warrants . EarlyBirdCapital Inc. is the record holder of the securities reported herein. David Nussbaum, Steven Levine and Amy Kaufmann have voting and investment discretion with respect to the securities held of record by EBC. The address of EBC is One Huntington Quadrangle 1C15, Melville, NY 11747.</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issuance by us of up to 16,500,000 Ordinary Shares, which consist of (i) up to 11,500,000 Ordinary Shares issuable upon the exercise of 11,500,000 Warrants, which were originally issued as RFAC Public Warrants, and (ii) up to 5,000,000 Ordinary Shares issuable upon the exercise of 5,000,000 Warrants, which were originally issued as RFAC Private Placement Warrants to the Sponsor and EBC.</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registering the offer and resale, from time to time, by the Selling Shareholders named in this prospectus, including their donees, pledgees, transferees, assignees, distributees, successors or other successors-in-interest selling securities received after the date of this prospectus from the Selling Shareholders (as a gift, pledge, partnership distribution or other non-sale related transfer), of (a) up to 83,456,793 Ordinary Shares and (b) up to 5,000,000 Ordinary Shares underlying 5,000,000 Warrants, held by certain Selling Shareholders.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any sale by the Selling Shareholders of Ordinary Shares being registered hereunder, except that we will receive up to an aggregate of $189.75 million from the exercise of Warrants, assuming the exercise in full of all of Warrants for cash.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details. We will bear all costs, expenses and fees in connection with the registration of the securities offered by this prospectus, whereas the Selling Shareholders will bear all incremental selling expenses, including commissions, brokerage fees and other similar selling expenses. The Selling Shareholders reserve the right to accept and, together with their respective agents, to reject, any proposed purchases of registered Ordinary Shares to be made directly or through agents.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Shareholders may offer and sell, from time to time, some or all of the securities covered by this prospectus. As used herein, “Selling Shareholders” includes donees, pledgees, transferees, assignees, distributees, successors or other successors-in-interest selling securities received after the date of this prospectus from the Selling Shareholders (as a gift, pledge, partnership distribution or other non-sale related transfer). We have registered the securities covered by this prospectus for offer and sale so that those securities may be freely sold to the public by the Selling Shareholders. Registration of the securities covered by this prospectus does not mean, however, that those securities necessarily will be offered or resold by the Selling Shareholders.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securities may be sold in one or more transactions at: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prices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Selling Shareholders may use any one or more of the following methods when disposing of the securities:</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to or through broker-dealer or agents, including purchases by a broker-dealer as principal and resale by the broker-dealer for their account or transactions in which broker-dealers may agree with the Selling Shareholders to sell a specified number of such shares at a stipulated price per share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Shareholder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and/or settlement thereof effected after the date the registration statement of which this prospectus is a part is declared effective by the SEC;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Selling Shareholders may offer the securities directly or utilize broker-dealers or other agents. In effecting sales, brokers or dealers engaged by the Selling Shareholders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or transactions in which the broker-dealer solicits purchasers. Such broker-dealers may receive compensation in the form of discounts, concessions or commissions from the Selling Shareholders and/or the purchasers of the securities offered hereby for whom such broker-dealers may act as agents or to whom they sell as principal, or both (which compensation as to a particular broker-dealer might be in excess of customary commissions). The Selling Shareholders and any underwriters, broker-dealers or agents that participate in the sale of the securities covered by this prospectus may be “underwriters” within the meaning of Section 2(a)(11) of the Securities Act. Any discounts, commissions, concessions or profit they earn on any resale of the shares may be underwriting discounts and commissions under the Securities Act. Selling Shareholders who are “underwriters” within the meaning of Section 2(a)(11) of the Securities Act will be subject to the prospectus delivery requirements of the Securities Act.</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 Selling Shareholder that is an entity may elect to make a pro rata in-kind distribution of the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Selling Shareholders will sell all or any of the securities offered by this prospectus. In addition, the Selling Shareholders may also sell the securities under Rule 144 under the Securities Act, if available, or in other transactions exempt from registration, rather than under this prospectus.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Shareholders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Selling Shareholders have the sole and absolute discretion not to accept any purchase offer or make any sale of the securities if they deem the purchase price to be unsatisfactory at any particular time.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securities owned by them and, if they default in the performance of their secured obligations, the pledgees or secured parties may offer and sell such securities,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securities in other circumstances, in which case the donees, pledgees, transferees, assignees, distributees, successors or other successors-in-interest will be the selling beneficial owners for purposes of this prospectus. Upon being notified by a Selling Shareholder that a donee, pledgee, transferee, assignee, distributee, successor or other successor-in-interest intends to sell our securities, we will, to the extent required, promptly file a supplement to this prospectus to name specifically such person as a Selling Shareholder.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our being notified by any Selling Shareholders that any material arrangement has been entered into with a broker-dealer for the sale of the securities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participating 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involved;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price at which such securities are to be sold;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such broker-dealer(s), where applicable;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Selling Shareholders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Shareholders. The Selling Shareholders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Shareholders who is a party to the Registration Rights Agreement (including their respective permitted transferee) and their respective officers, employees, affiliates, directors, partners, members, attorneys and agents and each person who controls such Selling Shareholders against certain liabilities. Such Selling Shareholders have agreed, severally and not jointly, to indemnify us and our directors and officers in certain circumstances against certain liabilities.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with the Selling Shareholders to keep the registration statement of which this prospectus constitutes a part effective until all of the securities covered by this prospectus have been disposed of pursuant to and in accordance with the registration statement or the securities have been withdrawn.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RELATING TO THIS OFFERING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estimate the following expenses in connection with the offer and resale of the Ordinary Shares by the Selling Shareholders. With the exception of the SEC registration fee, all amounts are estimates.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 and miscellaneous costs</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cannot be defined at this time.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to pay all expenses of registration incurred in connection with the resale of Ordinary Shares under this prospectus, except for any underwriting discounts, if any, selling commissions and stock transfer taxes applicable to the sale of Ordinary Shares by the Selling Shareholders, all of which are to be paid by the Selling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legal matters relating to U.S. law will be passed upon for the Company by Loeb &amp; Loeb LLP. Certain Cayman Islands legal matters will be passed upon for the Company by Carey Olsen Singapore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GCL Global Holdings Ltd as of March 31, 2025 and 2024, and for each of the three years in the period ended March 31, 2025, as incorporated by reference in this prospectus and elsewhere in the registration statement, have been so incorporated by reference in reliance on the report of Marcum Asia CPAs LLP, an independent registered public accounting firm,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 requirements of the Exchange Act as applicable to a “foreign private issuer,” and we file annual reports and other information from time to time with the SEC in accordance with such requirements. Our SEC filings will be available to the public on the internet at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an Internet website at </w:t>
      </w:r>
      <w:r>
        <w:rPr>
          <w:rFonts w:ascii="Times New Roman" w:cs="Times New Roman" w:eastAsia="Times New Roman" w:hAnsi="Times New Roman"/>
          <w:sz w:val="18"/>
          <w:szCs w:val="18"/>
          <w:i w:val="1"/>
          <w:iCs w:val="1"/>
          <w:color w:val="auto"/>
        </w:rPr>
        <w:t>https://www.gclglobalholdings.com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r>
        <w:rPr>
          <w:rFonts w:ascii="Times New Roman" w:cs="Times New Roman" w:eastAsia="Times New Roman" w:hAnsi="Times New Roman"/>
          <w:sz w:val="18"/>
          <w:szCs w:val="18"/>
          <w:i w:val="1"/>
          <w:iCs w:val="1"/>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registration statement incorporates by reference important information about the Company that is not included in or delivered with this document. 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into this prospectus the following documents: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year ended March 31, 2025 filed with the SEC on </w:t>
      </w:r>
      <w:hyperlink r:id="rId54">
        <w:r>
          <w:rPr>
            <w:rFonts w:ascii="Times New Roman" w:cs="Times New Roman" w:eastAsia="Times New Roman" w:hAnsi="Times New Roman"/>
            <w:sz w:val="18"/>
            <w:szCs w:val="18"/>
            <w:u w:val="single" w:color="auto"/>
            <w:color w:val="0000EE"/>
          </w:rPr>
          <w:t>July 31, 2025</w:t>
        </w:r>
      </w:hyperlink>
      <w:r>
        <w:rPr>
          <w:rFonts w:ascii="Times New Roman" w:cs="Times New Roman" w:eastAsia="Times New Roman" w:hAnsi="Times New Roman"/>
          <w:sz w:val="18"/>
          <w:szCs w:val="18"/>
          <w:color w:val="auto"/>
        </w:rPr>
        <w:t xml:space="preserve">, as amended on </w:t>
      </w:r>
      <w:hyperlink r:id="rId55">
        <w:r>
          <w:rPr>
            <w:rFonts w:ascii="Times New Roman" w:cs="Times New Roman" w:eastAsia="Times New Roman" w:hAnsi="Times New Roman"/>
            <w:sz w:val="18"/>
            <w:szCs w:val="18"/>
            <w:u w:val="single" w:color="auto"/>
            <w:color w:val="0000EE"/>
          </w:rPr>
          <w:t>April 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6">
        <w:r>
          <w:rPr>
            <w:rFonts w:ascii="Times New Roman" w:cs="Times New Roman" w:eastAsia="Times New Roman" w:hAnsi="Times New Roman"/>
            <w:sz w:val="18"/>
            <w:szCs w:val="18"/>
            <w:u w:val="single" w:color="auto"/>
            <w:color w:val="0000EE"/>
          </w:rPr>
          <w:t>May 4,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6-K furnished to the SEC on </w:t>
      </w:r>
      <w:hyperlink r:id="rId57">
        <w:r>
          <w:rPr>
            <w:rFonts w:ascii="Times New Roman" w:cs="Times New Roman" w:eastAsia="Times New Roman" w:hAnsi="Times New Roman"/>
            <w:sz w:val="18"/>
            <w:szCs w:val="18"/>
            <w:u w:val="single" w:color="auto"/>
            <w:color w:val="0000EE"/>
          </w:rPr>
          <w:t>August 25</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9">
        <w:r>
          <w:rPr>
            <w:rFonts w:ascii="Times New Roman" w:cs="Times New Roman" w:eastAsia="Times New Roman" w:hAnsi="Times New Roman"/>
            <w:sz w:val="18"/>
            <w:szCs w:val="18"/>
            <w:u w:val="single" w:color="auto"/>
            <w:color w:val="0000EE"/>
          </w:rPr>
          <w:t>29</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September 5</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9</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3">
        <w:r>
          <w:rPr>
            <w:rFonts w:ascii="Times New Roman" w:cs="Times New Roman" w:eastAsia="Times New Roman" w:hAnsi="Times New Roman"/>
            <w:sz w:val="18"/>
            <w:szCs w:val="18"/>
            <w:u w:val="single" w:color="auto"/>
            <w:color w:val="0000EE"/>
          </w:rPr>
          <w:t>15</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October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5">
        <w:r>
          <w:rPr>
            <w:rFonts w:ascii="Times New Roman" w:cs="Times New Roman" w:eastAsia="Times New Roman" w:hAnsi="Times New Roman"/>
            <w:sz w:val="18"/>
            <w:szCs w:val="18"/>
            <w:u w:val="single" w:color="auto"/>
            <w:color w:val="0000EE"/>
          </w:rPr>
          <w:t>16</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November 25</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December 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9">
        <w:r>
          <w:rPr>
            <w:rFonts w:ascii="Times New Roman" w:cs="Times New Roman" w:eastAsia="Times New Roman" w:hAnsi="Times New Roman"/>
            <w:sz w:val="18"/>
            <w:szCs w:val="18"/>
            <w:u w:val="single" w:color="auto"/>
            <w:color w:val="0000EE"/>
          </w:rPr>
          <w:t>January 30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March 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2">
        <w:r>
          <w:rPr>
            <w:rFonts w:ascii="Times New Roman" w:cs="Times New Roman" w:eastAsia="Times New Roman" w:hAnsi="Times New Roman"/>
            <w:sz w:val="18"/>
            <w:szCs w:val="18"/>
            <w:u w:val="single" w:color="auto"/>
            <w:color w:val="0000EE"/>
          </w:rPr>
          <w:t xml:space="preserve">30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3">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4">
        <w:r>
          <w:rPr>
            <w:rFonts w:ascii="Times New Roman" w:cs="Times New Roman" w:eastAsia="Times New Roman" w:hAnsi="Times New Roman"/>
            <w:sz w:val="18"/>
            <w:szCs w:val="18"/>
            <w:u w:val="single" w:color="auto"/>
            <w:color w:val="0000EE"/>
          </w:rPr>
          <w:t xml:space="preserve">April 14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5">
        <w:r>
          <w:rPr>
            <w:rFonts w:ascii="Times New Roman" w:cs="Times New Roman" w:eastAsia="Times New Roman" w:hAnsi="Times New Roman"/>
            <w:sz w:val="18"/>
            <w:szCs w:val="18"/>
            <w:u w:val="single" w:color="auto"/>
            <w:color w:val="0000EE"/>
          </w:rPr>
          <w:t>April 29, 2026</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7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13, 2025, including any amendments or reports filed for the purpose of updating the description;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into the registration statement of which this prospectus forms a part.</w:t>
      </w:r>
    </w:p>
    <w:p>
      <w:pPr>
        <w:spacing w:after="0" w:line="189" w:lineRule="exact"/>
        <w:rPr>
          <w:rFonts w:ascii="Times New Roman" w:cs="Times New Roman" w:eastAsia="Times New Roman" w:hAnsi="Times New Roman"/>
          <w:sz w:val="18"/>
          <w:szCs w:val="18"/>
          <w:color w:val="0000EE"/>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EE"/>
        </w:rPr>
      </w:pPr>
    </w:p>
    <w:p>
      <w:pPr>
        <w:ind w:left="4700"/>
        <w:spacing w:after="0"/>
        <w:rPr>
          <w:sz w:val="20"/>
          <w:szCs w:val="20"/>
          <w:color w:val="auto"/>
        </w:rPr>
      </w:pPr>
      <w:r>
        <w:rPr>
          <w:rFonts w:ascii="Times New Roman" w:cs="Times New Roman" w:eastAsia="Times New Roman" w:hAnsi="Times New Roman"/>
          <w:sz w:val="18"/>
          <w:szCs w:val="18"/>
          <w:color w:val="auto"/>
        </w:rPr>
        <w:t>Group Chief Financial Officer</w:t>
      </w:r>
    </w:p>
    <w:p>
      <w:pPr>
        <w:spacing w:after="0" w:line="27" w:lineRule="exact"/>
        <w:rPr>
          <w:rFonts w:ascii="Times New Roman" w:cs="Times New Roman" w:eastAsia="Times New Roman" w:hAnsi="Times New Roman"/>
          <w:sz w:val="18"/>
          <w:szCs w:val="18"/>
          <w:color w:val="0000EE"/>
        </w:rPr>
      </w:pPr>
    </w:p>
    <w:p>
      <w:pPr>
        <w:ind w:left="4840"/>
        <w:spacing w:after="0"/>
        <w:rPr>
          <w:sz w:val="20"/>
          <w:szCs w:val="20"/>
          <w:color w:val="auto"/>
        </w:rPr>
      </w:pPr>
      <w:r>
        <w:rPr>
          <w:rFonts w:ascii="Times New Roman" w:cs="Times New Roman" w:eastAsia="Times New Roman" w:hAnsi="Times New Roman"/>
          <w:sz w:val="18"/>
          <w:szCs w:val="18"/>
          <w:color w:val="auto"/>
        </w:rPr>
        <w:t>GCL Global Holdings Ltd</w:t>
      </w:r>
    </w:p>
    <w:p>
      <w:pPr>
        <w:spacing w:after="0" w:line="9" w:lineRule="exact"/>
        <w:rPr>
          <w:rFonts w:ascii="Times New Roman" w:cs="Times New Roman" w:eastAsia="Times New Roman" w:hAnsi="Times New Roman"/>
          <w:sz w:val="18"/>
          <w:szCs w:val="18"/>
          <w:color w:val="0000EE"/>
        </w:rPr>
      </w:pPr>
    </w:p>
    <w:p>
      <w:pPr>
        <w:ind w:left="4780"/>
        <w:spacing w:after="0"/>
        <w:rPr>
          <w:sz w:val="20"/>
          <w:szCs w:val="20"/>
          <w:color w:val="auto"/>
        </w:rPr>
      </w:pPr>
      <w:r>
        <w:rPr>
          <w:rFonts w:ascii="Times New Roman" w:cs="Times New Roman" w:eastAsia="Times New Roman" w:hAnsi="Times New Roman"/>
          <w:sz w:val="18"/>
          <w:szCs w:val="18"/>
          <w:color w:val="auto"/>
        </w:rPr>
        <w:t>29 Tai Seng Avenue #02-01</w:t>
      </w:r>
    </w:p>
    <w:p>
      <w:pPr>
        <w:spacing w:after="0" w:line="9" w:lineRule="exact"/>
        <w:rPr>
          <w:rFonts w:ascii="Times New Roman" w:cs="Times New Roman" w:eastAsia="Times New Roman" w:hAnsi="Times New Roman"/>
          <w:sz w:val="18"/>
          <w:szCs w:val="18"/>
          <w:color w:val="0000EE"/>
        </w:rPr>
      </w:pPr>
    </w:p>
    <w:p>
      <w:pPr>
        <w:ind w:left="4800"/>
        <w:spacing w:after="0"/>
        <w:rPr>
          <w:sz w:val="20"/>
          <w:szCs w:val="20"/>
          <w:color w:val="auto"/>
        </w:rPr>
      </w:pPr>
      <w:r>
        <w:rPr>
          <w:rFonts w:ascii="Times New Roman" w:cs="Times New Roman" w:eastAsia="Times New Roman" w:hAnsi="Times New Roman"/>
          <w:sz w:val="18"/>
          <w:szCs w:val="18"/>
          <w:color w:val="auto"/>
        </w:rPr>
        <w:t>Natural Cool Lifestyle Hub</w:t>
      </w:r>
    </w:p>
    <w:p>
      <w:pPr>
        <w:spacing w:after="0" w:line="9" w:lineRule="exact"/>
        <w:rPr>
          <w:rFonts w:ascii="Times New Roman" w:cs="Times New Roman" w:eastAsia="Times New Roman" w:hAnsi="Times New Roman"/>
          <w:sz w:val="18"/>
          <w:szCs w:val="18"/>
          <w:color w:val="0000EE"/>
        </w:rPr>
      </w:pPr>
    </w:p>
    <w:p>
      <w:pPr>
        <w:ind w:left="5140"/>
        <w:spacing w:after="0"/>
        <w:rPr>
          <w:sz w:val="20"/>
          <w:szCs w:val="20"/>
          <w:color w:val="auto"/>
        </w:rPr>
      </w:pPr>
      <w:r>
        <w:rPr>
          <w:rFonts w:ascii="Times New Roman" w:cs="Times New Roman" w:eastAsia="Times New Roman" w:hAnsi="Times New Roman"/>
          <w:sz w:val="18"/>
          <w:szCs w:val="18"/>
          <w:color w:val="auto"/>
        </w:rPr>
        <w:t>Singapore 534119</w:t>
      </w:r>
    </w:p>
    <w:p>
      <w:pPr>
        <w:spacing w:after="0" w:line="9" w:lineRule="exact"/>
        <w:rPr>
          <w:rFonts w:ascii="Times New Roman" w:cs="Times New Roman" w:eastAsia="Times New Roman" w:hAnsi="Times New Roman"/>
          <w:sz w:val="18"/>
          <w:szCs w:val="18"/>
          <w:color w:val="0000EE"/>
        </w:rPr>
      </w:pPr>
    </w:p>
    <w:p>
      <w:pPr>
        <w:ind w:left="4940"/>
        <w:spacing w:after="0"/>
        <w:rPr>
          <w:sz w:val="20"/>
          <w:szCs w:val="20"/>
          <w:color w:val="auto"/>
        </w:rPr>
      </w:pPr>
      <w:r>
        <w:rPr>
          <w:rFonts w:ascii="Times New Roman" w:cs="Times New Roman" w:eastAsia="Times New Roman" w:hAnsi="Times New Roman"/>
          <w:sz w:val="18"/>
          <w:szCs w:val="18"/>
          <w:color w:val="auto"/>
        </w:rPr>
        <w:t>Tel: +65 80427330</w:t>
      </w:r>
    </w:p>
    <w:p>
      <w:pPr>
        <w:spacing w:after="0" w:line="207" w:lineRule="exact"/>
        <w:rPr>
          <w:rFonts w:ascii="Times New Roman" w:cs="Times New Roman" w:eastAsia="Times New Roman" w:hAnsi="Times New Roman"/>
          <w:sz w:val="18"/>
          <w:szCs w:val="18"/>
          <w:color w:val="0000EE"/>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any supplement or amendment hereto. We have not authorized anyone to provide you with different information. We are not making any offer to sell these securities in any jurisdiction where the offer or sale is not permitted. You should not assume that the information contained or incorporated by reference in this prospectus or any supplement or amendment hereto is accurate as of any date other than the date of the document containing the information.</w:t>
      </w:r>
    </w:p>
    <w:p>
      <w:pPr>
        <w:spacing w:after="0" w:line="39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2"/>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77" Type="http://schemas.openxmlformats.org/officeDocument/2006/relationships/image" Target="media/image47.png"/><Relationship Id="rId54" Type="http://schemas.openxmlformats.org/officeDocument/2006/relationships/hyperlink" Target="http://www.sec.gov/ix?doc=/Archives/edgar/data/2002045/000121390025069672/ea0246480-20f_gclglobal.htm" TargetMode="External"/><Relationship Id="rId55" Type="http://schemas.openxmlformats.org/officeDocument/2006/relationships/hyperlink" Target="http://www.sec.gov/ix?doc=/Archives/edgar/data/2002045/000121390026041993/ea0277205-20fa1_gclglob.htm" TargetMode="External"/><Relationship Id="rId56" Type="http://schemas.openxmlformats.org/officeDocument/2006/relationships/hyperlink" Target="http://www.sec.gov/ix?doc=/Archives/edgar/data/2002045/000121390026051630/ea0288654-20fa2_gclglob.htm" TargetMode="External"/><Relationship Id="rId57" Type="http://schemas.openxmlformats.org/officeDocument/2006/relationships/hyperlink" Target="http://www.sec.gov/Archives/edgar/data/2002045/000121390025080124/ea0254434-6k_gclglobal.htm" TargetMode="External"/><Relationship Id="rId58" Type="http://schemas.openxmlformats.org/officeDocument/2006/relationships/hyperlink" Target="http://www.sec.gov/ix?doc=/Archives/edgar/data/2002045/000121390025081124/ea0254747-6k_gclglobal.htm" TargetMode="External"/><Relationship Id="rId59" Type="http://schemas.openxmlformats.org/officeDocument/2006/relationships/hyperlink" Target="http://www.sec.gov/Archives/edgar/data/2002045/000121390025082042/ea0255000-6k_gclglobal.htm" TargetMode="External"/><Relationship Id="rId60" Type="http://schemas.openxmlformats.org/officeDocument/2006/relationships/hyperlink" Target="http://www.sec.gov/Archives/edgar/data/2002045/000121390025085159/ea0256240-6k_gclglobal.htm" TargetMode="External"/><Relationship Id="rId61" Type="http://schemas.openxmlformats.org/officeDocument/2006/relationships/hyperlink" Target="http://www.sec.gov/Archives/edgar/data/2002045/000121390025086276/ea0256568-6k_gclglobal.htm" TargetMode="External"/><Relationship Id="rId62" Type="http://schemas.openxmlformats.org/officeDocument/2006/relationships/hyperlink" Target="http://www.sec.gov/Archives/edgar/data/2002045/000121390025086685/ea0256965-6k_gclglobal.htm" TargetMode="External"/><Relationship Id="rId63" Type="http://schemas.openxmlformats.org/officeDocument/2006/relationships/hyperlink" Target="http://www.sec.gov/Archives/edgar/data/2002045/000121390025087392/ea0257293-6k_gclglobal.htm" TargetMode="External"/><Relationship Id="rId64" Type="http://schemas.openxmlformats.org/officeDocument/2006/relationships/hyperlink" Target="http://www.sec.gov/Archives/edgar/data/2002045/000121390025098118/ea0260917-6k_gclglobal.htm" TargetMode="External"/><Relationship Id="rId65" Type="http://schemas.openxmlformats.org/officeDocument/2006/relationships/hyperlink" Target="http://www.sec.gov/Archives/edgar/data/2002045/000121390025099537/ea0261511-6k_gclglobal.htm" TargetMode="External"/><Relationship Id="rId66" Type="http://schemas.openxmlformats.org/officeDocument/2006/relationships/hyperlink" Target="http://www.sec.gov/Archives/edgar/data/2002045/000121390025114439/ea0267129-6k_gclglobal.htm" TargetMode="External"/><Relationship Id="rId67" Type="http://schemas.openxmlformats.org/officeDocument/2006/relationships/hyperlink" Target="http://www.sec.gov/Archives/edgar/data/2002045/000121390025117237/ea0268118-6k_gcl.htm" TargetMode="External"/><Relationship Id="rId68" Type="http://schemas.openxmlformats.org/officeDocument/2006/relationships/hyperlink" Target="http://www.sec.gov/Archives/edgar/data/2002045/000121390025118045/ea0268389-6k_gcl.htm" TargetMode="External"/><Relationship Id="rId69" Type="http://schemas.openxmlformats.org/officeDocument/2006/relationships/hyperlink" Target="http://www.sec.gov/ix?doc=/Archives/edgar/data/2002045/000121390026009911/ea0271723-6k_gcl.htm" TargetMode="External"/><Relationship Id="rId70" Type="http://schemas.openxmlformats.org/officeDocument/2006/relationships/hyperlink" Target="http://www.sec.gov/Archives/edgar/data/2002045/000121390026032630/ea0282778-6k_gclglobal.htm" TargetMode="External"/><Relationship Id="rId71" Type="http://schemas.openxmlformats.org/officeDocument/2006/relationships/hyperlink" Target="http://www.sec.gov/Archives/edgar/data/2002045/000121390026034371/ea0283525-6k_gclglobal.htm" TargetMode="External"/><Relationship Id="rId72" Type="http://schemas.openxmlformats.org/officeDocument/2006/relationships/hyperlink" Target="http://www.sec.gov/Archives/edgar/data/2002045/000121390026036405/ea0283829-6k_gclglobal.htm" TargetMode="External"/><Relationship Id="rId73" Type="http://schemas.openxmlformats.org/officeDocument/2006/relationships/hyperlink" Target="http://www.sec.gov/Archives/edgar/data/2002045/000121390026036885/ea0284228-6k_gclglobal.htm" TargetMode="External"/><Relationship Id="rId74" Type="http://schemas.openxmlformats.org/officeDocument/2006/relationships/hyperlink" Target="http://www.sec.gov/Archives/edgar/data/2002045/000121390026043238/ea0286221-6k_gcl.htm" TargetMode="External"/><Relationship Id="rId75" Type="http://schemas.openxmlformats.org/officeDocument/2006/relationships/hyperlink" Target="http://www.sec.gov/Archives/edgar/data/2002045/000121390026048866/ea0287551-6k_gcl.htm" TargetMode="External"/><Relationship Id="rId76" Type="http://schemas.openxmlformats.org/officeDocument/2006/relationships/hyperlink" Target="http://www.sec.gov/Archives/edgar/data/2002045/000110465925012646/tm256412d1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2026-05-18T15:10:42Z</dcterms:created>
  <dcterms:modified xsi:type="dcterms:W3CDTF">2026-05-18T15:10:42Z</dcterms:modified>
</cp:coreProperties>
</file>