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7482-s8_gclglobal.htm"/>
      <w:bookmarkStart w:id="1" w:name="ksea0307482s8_gclglobal"/>
      <w:bookmarkEnd w:id="0"/>
      <w:bookmarkEnd w:id="1"/>
      <w:r>
        <w:rPr>
          <w:rFonts w:ascii="Times New Roman;Times;Serif" w:hAnsi="Times New Roman;Times;Serif"/>
          <w:b/>
          <w:i w:val="false"/>
          <w:caps w:val="false"/>
          <w:smallCaps w:val="false"/>
          <w:sz w:val="20"/>
        </w:rPr>
        <w:t>As filed with the Securities and Exchange Commission on October 9,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28" w:type="dxa"/>
          <w:right w:w="0" w:type="dxa"/>
        </w:tblCellMar>
      </w:tblPr>
      <w:tblGrid>
        <w:gridCol w:w="2375"/>
        <w:gridCol w:w="60"/>
        <w:gridCol w:w="1895"/>
      </w:tblGrid>
      <w:tr>
        <w:trPr/>
        <w:tc>
          <w:tcPr>
            <w:tcW w:w="2375" w:type="dxa"/>
            <w:tcBorders>
              <w:bottom w:val="single" w:sz="12" w:space="0" w:color="000000"/>
            </w:tcBorders>
            <w:vAlign w:val="center"/>
          </w:tcPr>
          <w:p>
            <w:pPr>
              <w:pStyle w:val="TableContents"/>
              <w:bidi w:val="0"/>
              <w:spacing w:before="0" w:after="283"/>
              <w:jc w:val="center"/>
              <w:rPr>
                <w:b/>
                <w:sz w:val="20"/>
              </w:rPr>
            </w:pPr>
            <w:r>
              <w:rPr>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 organization) </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Tai Seng Avenue #02-01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Cool Lifestyle Hub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80427330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br/>
        <w:t>122 East 42nd Street, 18th Floor</w:t>
        <w:br/>
        <w:t>New York, New York 10168</w:t>
        <w:br/>
        <w:t>United States</w:t>
        <w:br/>
        <w:t>(800)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both"/>
              <w:rPr>
                <w:sz w:val="20"/>
              </w:rPr>
            </w:pPr>
            <w:r>
              <w:rPr>
                <w:sz w:val="20"/>
              </w:rPr>
              <w:t>Large accelerated filer ☐</w:t>
            </w:r>
          </w:p>
        </w:tc>
        <w:tc>
          <w:tcPr>
            <w:tcW w:w="2465" w:type="dxa"/>
            <w:tcBorders/>
            <w:vAlign w:val="center"/>
          </w:tcPr>
          <w:p>
            <w:pPr>
              <w:pStyle w:val="TableContents"/>
              <w:bidi w:val="0"/>
              <w:spacing w:before="0" w:after="283"/>
              <w:jc w:val="both"/>
              <w:rPr>
                <w:sz w:val="20"/>
              </w:rPr>
            </w:pPr>
            <w:r>
              <w:rPr>
                <w:sz w:val="20"/>
              </w:rPr>
              <w:t>Accelerated filer ☐</w:t>
            </w:r>
          </w:p>
        </w:tc>
      </w:tr>
      <w:tr>
        <w:trPr/>
        <w:tc>
          <w:tcPr>
            <w:tcW w:w="2060" w:type="dxa"/>
            <w:tcBorders/>
            <w:vAlign w:val="center"/>
          </w:tcPr>
          <w:p>
            <w:pPr>
              <w:pStyle w:val="TableContents"/>
              <w:bidi w:val="0"/>
              <w:spacing w:before="0" w:after="283"/>
              <w:jc w:val="both"/>
              <w:rPr>
                <w:sz w:val="20"/>
              </w:rPr>
            </w:pPr>
            <w:r>
              <w:rPr>
                <w:sz w:val="20"/>
              </w:rPr>
              <w:t>Non-accelerated filer ☐</w:t>
            </w:r>
          </w:p>
        </w:tc>
        <w:tc>
          <w:tcPr>
            <w:tcW w:w="2465" w:type="dxa"/>
            <w:tcBorders/>
            <w:vAlign w:val="center"/>
          </w:tcPr>
          <w:p>
            <w:pPr>
              <w:pStyle w:val="TableContents"/>
              <w:bidi w:val="0"/>
              <w:spacing w:before="0" w:after="283"/>
              <w:jc w:val="both"/>
              <w:rPr>
                <w:sz w:val="20"/>
              </w:rPr>
            </w:pPr>
            <w:r>
              <w:rPr>
                <w:sz w:val="20"/>
              </w:rPr>
              <w:t>Smaller reporting company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75"/>
        <w:gridCol w:w="2075"/>
      </w:tblGrid>
      <w:tr>
        <w:trPr/>
        <w:tc>
          <w:tcPr>
            <w:tcW w:w="75" w:type="dxa"/>
            <w:tcBorders/>
            <w:vAlign w:val="center"/>
          </w:tcPr>
          <w:p>
            <w:pPr>
              <w:pStyle w:val="TableContents"/>
              <w:bidi w:val="0"/>
              <w:spacing w:before="0" w:after="283"/>
              <w:ind w:left="0" w:right="0" w:hanging="2430"/>
              <w:jc w:val="left"/>
              <w:rPr/>
            </w:pPr>
            <w:r>
              <w:rPr/>
              <w:t> </w:t>
            </w:r>
          </w:p>
        </w:tc>
        <w:tc>
          <w:tcPr>
            <w:tcW w:w="2075" w:type="dxa"/>
            <w:tcBorders/>
            <w:vAlign w:val="center"/>
          </w:tcPr>
          <w:p>
            <w:pPr>
              <w:pStyle w:val="TableContents"/>
              <w:bidi w:val="0"/>
              <w:spacing w:before="0" w:after="283"/>
              <w:jc w:val="center"/>
              <w:rPr>
                <w:b/>
                <w:sz w:val="20"/>
              </w:rPr>
            </w:pPr>
            <w:r>
              <w:rPr>
                <w:b/>
                <w:sz w:val="20"/>
              </w:rPr>
              <w:t>Jane K. P. Tam, Esq.</w:t>
            </w:r>
          </w:p>
        </w:tc>
      </w:tr>
      <w:tr>
        <w:trPr/>
        <w:tc>
          <w:tcPr>
            <w:tcW w:w="75" w:type="dxa"/>
            <w:tcBorders/>
            <w:vAlign w:val="center"/>
          </w:tcPr>
          <w:p>
            <w:pPr>
              <w:pStyle w:val="TableContents"/>
              <w:bidi w:val="0"/>
              <w:spacing w:before="0" w:after="283"/>
              <w:ind w:left="0" w:right="0" w:hanging="2430"/>
              <w:jc w:val="left"/>
              <w:rPr/>
            </w:pPr>
            <w:r>
              <w:rPr/>
              <w:t> </w:t>
            </w:r>
          </w:p>
        </w:tc>
        <w:tc>
          <w:tcPr>
            <w:tcW w:w="2075" w:type="dxa"/>
            <w:tcBorders/>
            <w:vAlign w:val="center"/>
          </w:tcPr>
          <w:p>
            <w:pPr>
              <w:pStyle w:val="TableContents"/>
              <w:bidi w:val="0"/>
              <w:spacing w:before="0" w:after="283"/>
              <w:jc w:val="center"/>
              <w:rPr>
                <w:b/>
                <w:sz w:val="20"/>
              </w:rPr>
            </w:pPr>
            <w:r>
              <w:rPr>
                <w:b/>
                <w:sz w:val="20"/>
              </w:rPr>
              <w:t>Loeb &amp; Loeb LLP</w:t>
            </w:r>
          </w:p>
        </w:tc>
      </w:tr>
      <w:tr>
        <w:trPr/>
        <w:tc>
          <w:tcPr>
            <w:tcW w:w="75" w:type="dxa"/>
            <w:tcBorders/>
            <w:vAlign w:val="center"/>
          </w:tcPr>
          <w:p>
            <w:pPr>
              <w:pStyle w:val="TableContents"/>
              <w:bidi w:val="0"/>
              <w:spacing w:before="0" w:after="283"/>
              <w:ind w:left="0" w:right="0" w:hanging="2430"/>
              <w:jc w:val="left"/>
              <w:rPr/>
            </w:pPr>
            <w:r>
              <w:rPr/>
              <w:t> </w:t>
            </w:r>
          </w:p>
        </w:tc>
        <w:tc>
          <w:tcPr>
            <w:tcW w:w="2075" w:type="dxa"/>
            <w:tcBorders/>
            <w:vAlign w:val="center"/>
          </w:tcPr>
          <w:p>
            <w:pPr>
              <w:pStyle w:val="TableContents"/>
              <w:bidi w:val="0"/>
              <w:spacing w:before="0" w:after="283"/>
              <w:jc w:val="center"/>
              <w:rPr>
                <w:b/>
                <w:sz w:val="20"/>
              </w:rPr>
            </w:pPr>
            <w:r>
              <w:rPr>
                <w:b/>
                <w:sz w:val="20"/>
              </w:rPr>
              <w:t>901 New York Avenue</w:t>
            </w:r>
          </w:p>
        </w:tc>
      </w:tr>
      <w:tr>
        <w:trPr/>
        <w:tc>
          <w:tcPr>
            <w:tcW w:w="75" w:type="dxa"/>
            <w:tcBorders/>
            <w:vAlign w:val="center"/>
          </w:tcPr>
          <w:p>
            <w:pPr>
              <w:pStyle w:val="TableContents"/>
              <w:bidi w:val="0"/>
              <w:spacing w:before="0" w:after="283"/>
              <w:ind w:left="0" w:right="0" w:hanging="2430"/>
              <w:jc w:val="left"/>
              <w:rPr/>
            </w:pPr>
            <w:r>
              <w:rPr/>
              <w:t> </w:t>
            </w:r>
          </w:p>
        </w:tc>
        <w:tc>
          <w:tcPr>
            <w:tcW w:w="2075" w:type="dxa"/>
            <w:tcBorders/>
            <w:vAlign w:val="center"/>
          </w:tcPr>
          <w:p>
            <w:pPr>
              <w:pStyle w:val="TableContents"/>
              <w:bidi w:val="0"/>
              <w:spacing w:before="0" w:after="283"/>
              <w:jc w:val="center"/>
              <w:rPr>
                <w:b/>
                <w:sz w:val="20"/>
              </w:rPr>
            </w:pPr>
            <w:r>
              <w:rPr>
                <w:b/>
                <w:sz w:val="20"/>
              </w:rPr>
              <w:t>Washington, D.C. 20001</w:t>
            </w:r>
          </w:p>
        </w:tc>
      </w:tr>
      <w:tr>
        <w:trPr/>
        <w:tc>
          <w:tcPr>
            <w:tcW w:w="75" w:type="dxa"/>
            <w:tcBorders/>
            <w:vAlign w:val="center"/>
          </w:tcPr>
          <w:p>
            <w:pPr>
              <w:pStyle w:val="TableContents"/>
              <w:bidi w:val="0"/>
              <w:spacing w:before="0" w:after="283"/>
              <w:ind w:left="0" w:right="0" w:hanging="2430"/>
              <w:jc w:val="left"/>
              <w:rPr/>
            </w:pPr>
            <w:r>
              <w:rPr/>
              <w:t> </w:t>
            </w:r>
          </w:p>
        </w:tc>
        <w:tc>
          <w:tcPr>
            <w:tcW w:w="2075" w:type="dxa"/>
            <w:tcBorders/>
            <w:vAlign w:val="center"/>
          </w:tcPr>
          <w:p>
            <w:pPr>
              <w:pStyle w:val="TableContents"/>
              <w:bidi w:val="0"/>
              <w:spacing w:before="0" w:after="283"/>
              <w:jc w:val="center"/>
              <w:rPr>
                <w:b/>
                <w:sz w:val="20"/>
              </w:rPr>
            </w:pPr>
            <w:r>
              <w:rPr>
                <w:b/>
                <w:sz w:val="20"/>
              </w:rPr>
              <w:t>(202) 618-5000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of Additional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being filed by GCL Global Holdings Ltd (the “Registrant”) to register an additional 3,840,261 ordinary shares, par value US$0.0001 per share (the “Ordinary Shares”), issuable under the GCL Global Holdings Ltd Equity Incentive Plan (as amended, the “Plan”) as a result of the provision of the Plan providing for an automatic increase on April 1 of each year for a period of ten years commencing on April 1, 2026 and ending on (and including) April 1, 2036, in an amount equal to 3% of the total number of Ordinary Shares outstanding on March 31 of the preceding year, provided, however, that the board of the directors of the Registrant may act prior to April 1 of a given year to provide that the increase for such year will be a lesser number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additional Ordinary Shares are securities of the same class as other securities for which a Registration Statement on Form S-8 (File No. 333-286902) (the “Prior Registration Statement”) was filed with the Securities and Exchange Commission (the “Commission”) on May 1, 2025 and is currently effective. In accordance with General Instruction E of Form S-8, the contents of the Prior Registration Statement are incorporated herein by reference and made a part of this Registration Statement, except as supplemented or modified by the information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500"/>
        <w:gridCol w:w="4610"/>
      </w:tblGrid>
      <w:tr>
        <w:trPr/>
        <w:tc>
          <w:tcPr>
            <w:tcW w:w="500" w:type="dxa"/>
            <w:tcBorders/>
            <w:vAlign w:val="center"/>
          </w:tcPr>
          <w:p>
            <w:pPr>
              <w:pStyle w:val="TableContents"/>
              <w:bidi w:val="0"/>
              <w:spacing w:before="0" w:after="283"/>
              <w:jc w:val="left"/>
              <w:rPr>
                <w:b/>
              </w:rPr>
            </w:pPr>
            <w:r>
              <w:rPr>
                <w:b/>
              </w:rPr>
              <w:t>Item</w:t>
            </w:r>
          </w:p>
        </w:tc>
        <w:tc>
          <w:tcPr>
            <w:tcW w:w="4610" w:type="dxa"/>
            <w:tcBorders/>
            <w:vAlign w:val="center"/>
          </w:tcPr>
          <w:p>
            <w:pPr>
              <w:pStyle w:val="TableContents"/>
              <w:bidi w:val="0"/>
              <w:spacing w:before="0" w:after="283"/>
              <w:jc w:val="both"/>
              <w:rPr>
                <w:b/>
              </w:rPr>
            </w:pPr>
            <w:r>
              <w:rPr>
                <w:b/>
              </w:rPr>
              <w:t>3. Incorporation of Documents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or furnished by the Registrant with the Commission are incorporated herein by reference: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2"/>
        <w:gridCol w:w="9859"/>
      </w:tblGrid>
      <w:tr>
        <w:trPr/>
        <w:tc>
          <w:tcPr>
            <w:tcW w:w="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(a)</w:t>
            </w:r>
          </w:p>
        </w:tc>
        <w:tc>
          <w:tcPr>
            <w:tcW w:w="9859" w:type="dxa"/>
            <w:tcBorders/>
            <w:vAlign w:val="center"/>
          </w:tcPr>
          <w:p>
            <w:pPr>
              <w:pStyle w:val="TableContents"/>
              <w:bidi w:val="0"/>
              <w:spacing w:before="0" w:after="283"/>
              <w:jc w:val="both"/>
              <w:rPr/>
            </w:pPr>
            <w:r>
              <w:rPr/>
              <w:t xml:space="preserve">the Registrant’s Annual Report on </w:t>
            </w:r>
            <w:hyperlink r:id="rId2">
              <w:r>
                <w:rPr>
                  <w:rStyle w:val="InternetLink"/>
                </w:rPr>
                <w:t>Form 20-F</w:t>
              </w:r>
            </w:hyperlink>
            <w:r>
              <w:rPr/>
              <w:t xml:space="preserve"> for the fiscal year ended March 31, 2026, filed with the Commission on July 31, 2026;</w:t>
            </w:r>
          </w:p>
        </w:tc>
      </w:tr>
      <w:tr>
        <w:trPr/>
        <w:tc>
          <w:tcPr>
            <w:tcW w:w="74"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859"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283"/>
              <w:jc w:val="both"/>
              <w:rPr/>
            </w:pPr>
            <w:r>
              <w:rPr/>
              <w:t xml:space="preserve">the Registrant’s Current Reports on Form 6-K furnished to the Commission on </w:t>
            </w:r>
            <w:hyperlink r:id="rId3">
              <w:r>
                <w:rPr>
                  <w:rStyle w:val="InternetLink"/>
                </w:rPr>
                <w:t>August 28, 2026</w:t>
              </w:r>
            </w:hyperlink>
            <w:r>
              <w:rPr/>
              <w:t xml:space="preserve"> and </w:t>
            </w:r>
            <w:hyperlink r:id="rId4">
              <w:r>
                <w:rPr>
                  <w:rStyle w:val="InternetLink"/>
                </w:rPr>
                <w:t>September 17, 2026</w:t>
              </w:r>
            </w:hyperlink>
            <w:r>
              <w:rPr/>
              <w: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 xml:space="preserve">the description of the Ordinary Shares contained in </w:t>
            </w:r>
            <w:hyperlink r:id="rId5">
              <w:r>
                <w:rPr>
                  <w:rStyle w:val="InternetLink"/>
                </w:rPr>
                <w:t>Exhibit 2.1</w:t>
              </w:r>
            </w:hyperlink>
            <w:r>
              <w:rPr/>
              <w:t xml:space="preserve"> to the Annual Report on </w:t>
            </w:r>
            <w:hyperlink r:id="rId6">
              <w:r>
                <w:rPr>
                  <w:rStyle w:val="InternetLink"/>
                </w:rPr>
                <w:t>Form 20-F</w:t>
              </w:r>
            </w:hyperlink>
            <w:r>
              <w:rPr/>
              <w:t xml:space="preserve"> for the fiscal year ended March 31, 2026, filed with the Commission on July 31, 2026, including any amendments or reports filed for the purpose of updating such description;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t>All other reports and documents subsequently filed by the Registrant pursuant to Sections 13(a), 13(c), 14, and 15(d) of the Exchange Act since March 31, 2026.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500"/>
        <w:gridCol w:w="1175"/>
      </w:tblGrid>
      <w:tr>
        <w:trPr/>
        <w:tc>
          <w:tcPr>
            <w:tcW w:w="500" w:type="dxa"/>
            <w:tcBorders/>
            <w:vAlign w:val="center"/>
          </w:tcPr>
          <w:p>
            <w:pPr>
              <w:pStyle w:val="TableContents"/>
              <w:bidi w:val="0"/>
              <w:spacing w:before="0" w:after="283"/>
              <w:jc w:val="left"/>
              <w:rPr>
                <w:b/>
              </w:rPr>
            </w:pPr>
            <w:r>
              <w:rPr>
                <w:b/>
              </w:rPr>
              <w:t>Item</w:t>
            </w:r>
          </w:p>
        </w:tc>
        <w:tc>
          <w:tcPr>
            <w:tcW w:w="1175" w:type="dxa"/>
            <w:tcBorders/>
            <w:vAlign w:val="center"/>
          </w:tcPr>
          <w:p>
            <w:pPr>
              <w:pStyle w:val="TableContents"/>
              <w:bidi w:val="0"/>
              <w:spacing w:before="0" w:after="283"/>
              <w:jc w:val="both"/>
              <w:rPr>
                <w:b/>
              </w:rPr>
            </w:pPr>
            <w:r>
              <w:rPr>
                <w:b/>
              </w:rPr>
              <w:t>8. Exhibits.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60"/>
        <w:gridCol w:w="5628"/>
        <w:gridCol w:w="60"/>
        <w:gridCol w:w="500"/>
        <w:gridCol w:w="60"/>
        <w:gridCol w:w="966"/>
        <w:gridCol w:w="60"/>
        <w:gridCol w:w="650"/>
        <w:gridCol w:w="60"/>
        <w:gridCol w:w="956"/>
      </w:tblGrid>
      <w:tr>
        <w:trPr/>
        <w:tc>
          <w:tcPr>
            <w:tcW w:w="12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6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252" w:type="dxa"/>
            <w:gridSpan w:val="7"/>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Incorporated by Reference</w:t>
            </w:r>
          </w:p>
        </w:tc>
      </w:tr>
      <w:tr>
        <w:trPr/>
        <w:tc>
          <w:tcPr>
            <w:tcW w:w="1205"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Exhibit No.</w:t>
            </w:r>
          </w:p>
        </w:tc>
        <w:tc>
          <w:tcPr>
            <w:tcW w:w="60" w:type="dxa"/>
            <w:tcBorders/>
            <w:shd w:fill="FFFFFF" w:val="clear"/>
            <w:vAlign w:val="center"/>
          </w:tcPr>
          <w:p>
            <w:pPr>
              <w:pStyle w:val="TableContents"/>
              <w:bidi w:val="0"/>
              <w:spacing w:before="0" w:after="283"/>
              <w:jc w:val="center"/>
              <w:rPr/>
            </w:pPr>
            <w:r>
              <w:rPr/>
              <w:t> </w:t>
            </w:r>
          </w:p>
        </w:tc>
        <w:tc>
          <w:tcPr>
            <w:tcW w:w="5628"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Description</w:t>
            </w:r>
          </w:p>
        </w:tc>
        <w:tc>
          <w:tcPr>
            <w:tcW w:w="60" w:type="dxa"/>
            <w:tcBorders/>
            <w:shd w:fill="FFFFFF" w:val="clear"/>
            <w:vAlign w:val="center"/>
          </w:tcPr>
          <w:p>
            <w:pPr>
              <w:pStyle w:val="TableContents"/>
              <w:bidi w:val="0"/>
              <w:spacing w:before="0" w:after="283"/>
              <w:jc w:val="center"/>
              <w:rPr/>
            </w:pPr>
            <w:r>
              <w:rPr/>
              <w:t> </w:t>
            </w:r>
          </w:p>
        </w:tc>
        <w:tc>
          <w:tcPr>
            <w:tcW w:w="500"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Form</w:t>
            </w:r>
          </w:p>
        </w:tc>
        <w:tc>
          <w:tcPr>
            <w:tcW w:w="60" w:type="dxa"/>
            <w:tcBorders/>
            <w:shd w:fill="FFFFFF" w:val="clear"/>
            <w:vAlign w:val="center"/>
          </w:tcPr>
          <w:p>
            <w:pPr>
              <w:pStyle w:val="TableContents"/>
              <w:bidi w:val="0"/>
              <w:spacing w:before="0" w:after="283"/>
              <w:jc w:val="center"/>
              <w:rPr/>
            </w:pPr>
            <w:r>
              <w:rPr/>
              <w:t> </w:t>
            </w:r>
          </w:p>
        </w:tc>
        <w:tc>
          <w:tcPr>
            <w:tcW w:w="966"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File Number</w:t>
            </w:r>
          </w:p>
        </w:tc>
        <w:tc>
          <w:tcPr>
            <w:tcW w:w="60" w:type="dxa"/>
            <w:tcBorders/>
            <w:shd w:fill="FFFFFF" w:val="clear"/>
            <w:vAlign w:val="center"/>
          </w:tcPr>
          <w:p>
            <w:pPr>
              <w:pStyle w:val="TableContents"/>
              <w:bidi w:val="0"/>
              <w:spacing w:before="0" w:after="283"/>
              <w:jc w:val="center"/>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Exhibit</w:t>
            </w:r>
          </w:p>
        </w:tc>
        <w:tc>
          <w:tcPr>
            <w:tcW w:w="60" w:type="dxa"/>
            <w:tcBorders/>
            <w:shd w:fill="FFFFFF" w:val="clear"/>
            <w:vAlign w:val="center"/>
          </w:tcPr>
          <w:p>
            <w:pPr>
              <w:pStyle w:val="TableContents"/>
              <w:bidi w:val="0"/>
              <w:spacing w:before="0" w:after="283"/>
              <w:jc w:val="center"/>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Filing Date</w:t>
            </w:r>
          </w:p>
        </w:tc>
      </w:tr>
      <w:tr>
        <w:trPr/>
        <w:tc>
          <w:tcPr>
            <w:tcW w:w="1205" w:type="dxa"/>
            <w:tcBorders/>
            <w:shd w:fill="CCEEFF" w:val="clear"/>
            <w:vAlign w:val="center"/>
          </w:tcPr>
          <w:p>
            <w:pPr>
              <w:pStyle w:val="TableContents"/>
              <w:bidi w:val="0"/>
              <w:spacing w:before="0" w:after="283"/>
              <w:jc w:val="left"/>
              <w:rPr>
                <w:sz w:val="20"/>
              </w:rPr>
            </w:pPr>
            <w:r>
              <w:rPr>
                <w:sz w:val="20"/>
              </w:rPr>
              <w:t>3.1</w:t>
            </w:r>
          </w:p>
        </w:tc>
        <w:tc>
          <w:tcPr>
            <w:tcW w:w="60" w:type="dxa"/>
            <w:tcBorders/>
            <w:shd w:fill="CCEEFF" w:val="clear"/>
            <w:vAlign w:val="center"/>
          </w:tcPr>
          <w:p>
            <w:pPr>
              <w:pStyle w:val="TableContents"/>
              <w:bidi w:val="0"/>
              <w:spacing w:before="0" w:after="283"/>
              <w:jc w:val="left"/>
              <w:rPr/>
            </w:pPr>
            <w:r>
              <w:rPr/>
              <w:t> </w:t>
            </w:r>
          </w:p>
        </w:tc>
        <w:tc>
          <w:tcPr>
            <w:tcW w:w="5628" w:type="dxa"/>
            <w:tcBorders/>
            <w:shd w:fill="CCEEFF" w:val="clear"/>
            <w:vAlign w:val="center"/>
          </w:tcPr>
          <w:p>
            <w:pPr>
              <w:pStyle w:val="TableContents"/>
              <w:bidi w:val="0"/>
              <w:spacing w:before="0" w:after="283"/>
              <w:jc w:val="both"/>
              <w:rPr/>
            </w:pPr>
            <w:hyperlink r:id="rId7">
              <w:r>
                <w:rPr>
                  <w:rStyle w:val="InternetLink"/>
                  <w:sz w:val="20"/>
                </w:rPr>
                <w:t>Amended and Restated Memorandum and Articles of Association of GCL Global Holdings Ltd</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20-F</w:t>
            </w:r>
          </w:p>
        </w:tc>
        <w:tc>
          <w:tcPr>
            <w:tcW w:w="6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center"/>
              <w:rPr>
                <w:sz w:val="20"/>
              </w:rPr>
            </w:pPr>
            <w:r>
              <w:rPr>
                <w:sz w:val="20"/>
              </w:rPr>
              <w:t>001-42523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sz w:val="20"/>
              </w:rPr>
            </w:pPr>
            <w:r>
              <w:rPr>
                <w:sz w:val="20"/>
              </w:rPr>
              <w:t>1.1</w:t>
            </w:r>
          </w:p>
        </w:tc>
        <w:tc>
          <w:tcPr>
            <w:tcW w:w="60"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center"/>
              <w:rPr>
                <w:sz w:val="20"/>
              </w:rPr>
            </w:pPr>
            <w:r>
              <w:rPr>
                <w:sz w:val="20"/>
              </w:rPr>
              <w:t>July 31, 2026</w:t>
            </w:r>
          </w:p>
        </w:tc>
      </w:tr>
      <w:tr>
        <w:trPr/>
        <w:tc>
          <w:tcPr>
            <w:tcW w:w="1205" w:type="dxa"/>
            <w:tcBorders/>
            <w:shd w:fill="FFFFFF" w:val="clear"/>
            <w:vAlign w:val="center"/>
          </w:tcPr>
          <w:p>
            <w:pPr>
              <w:pStyle w:val="TableContents"/>
              <w:bidi w:val="0"/>
              <w:spacing w:before="0" w:after="283"/>
              <w:jc w:val="left"/>
              <w:rPr>
                <w:sz w:val="20"/>
              </w:rPr>
            </w:pPr>
            <w:r>
              <w:rPr>
                <w:sz w:val="20"/>
              </w:rPr>
              <w:t>4.1</w:t>
            </w:r>
          </w:p>
        </w:tc>
        <w:tc>
          <w:tcPr>
            <w:tcW w:w="60" w:type="dxa"/>
            <w:tcBorders/>
            <w:shd w:fill="FFFFFF" w:val="clear"/>
            <w:vAlign w:val="center"/>
          </w:tcPr>
          <w:p>
            <w:pPr>
              <w:pStyle w:val="TableContents"/>
              <w:bidi w:val="0"/>
              <w:spacing w:before="0" w:after="283"/>
              <w:jc w:val="left"/>
              <w:rPr/>
            </w:pPr>
            <w:r>
              <w:rPr/>
              <w:t> </w:t>
            </w:r>
          </w:p>
        </w:tc>
        <w:tc>
          <w:tcPr>
            <w:tcW w:w="5628" w:type="dxa"/>
            <w:tcBorders/>
            <w:shd w:fill="FFFFFF" w:val="clear"/>
            <w:vAlign w:val="center"/>
          </w:tcPr>
          <w:p>
            <w:pPr>
              <w:pStyle w:val="TableContents"/>
              <w:bidi w:val="0"/>
              <w:spacing w:before="0" w:after="283"/>
              <w:jc w:val="both"/>
              <w:rPr/>
            </w:pPr>
            <w:hyperlink r:id="rId8">
              <w:r>
                <w:rPr>
                  <w:rStyle w:val="InternetLink"/>
                  <w:sz w:val="20"/>
                </w:rPr>
                <w:t>Specimen of ordinary share of GCL Global Holdings Ltd</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sz w:val="20"/>
              </w:rPr>
            </w:pPr>
            <w:r>
              <w:rPr>
                <w:sz w:val="20"/>
              </w:rPr>
              <w:t>S-8</w:t>
            </w:r>
          </w:p>
        </w:tc>
        <w:tc>
          <w:tcPr>
            <w:tcW w:w="6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center"/>
              <w:rPr>
                <w:sz w:val="20"/>
              </w:rPr>
            </w:pPr>
            <w:r>
              <w:rPr>
                <w:sz w:val="20"/>
              </w:rPr>
              <w:t>333-286902</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sz w:val="20"/>
              </w:rPr>
            </w:pPr>
            <w:r>
              <w:rPr>
                <w:sz w:val="20"/>
              </w:rPr>
              <w:t>4.1</w:t>
            </w:r>
          </w:p>
        </w:tc>
        <w:tc>
          <w:tcPr>
            <w:tcW w:w="60"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center"/>
              <w:rPr>
                <w:sz w:val="20"/>
              </w:rPr>
            </w:pPr>
            <w:r>
              <w:rPr>
                <w:sz w:val="20"/>
              </w:rPr>
              <w:t>May 1, 2025</w:t>
            </w:r>
          </w:p>
        </w:tc>
      </w:tr>
      <w:tr>
        <w:trPr/>
        <w:tc>
          <w:tcPr>
            <w:tcW w:w="1205" w:type="dxa"/>
            <w:tcBorders/>
            <w:shd w:fill="CCEEFF" w:val="clear"/>
            <w:vAlign w:val="center"/>
          </w:tcPr>
          <w:p>
            <w:pPr>
              <w:pStyle w:val="TableContents"/>
              <w:bidi w:val="0"/>
              <w:spacing w:before="0" w:after="283"/>
              <w:jc w:val="left"/>
              <w:rPr>
                <w:sz w:val="20"/>
              </w:rPr>
            </w:pPr>
            <w:r>
              <w:rPr>
                <w:sz w:val="20"/>
              </w:rPr>
              <w:t>4.2</w:t>
            </w:r>
          </w:p>
        </w:tc>
        <w:tc>
          <w:tcPr>
            <w:tcW w:w="60" w:type="dxa"/>
            <w:tcBorders/>
            <w:shd w:fill="CCEEFF" w:val="clear"/>
            <w:vAlign w:val="center"/>
          </w:tcPr>
          <w:p>
            <w:pPr>
              <w:pStyle w:val="TableContents"/>
              <w:bidi w:val="0"/>
              <w:spacing w:before="0" w:after="283"/>
              <w:jc w:val="left"/>
              <w:rPr/>
            </w:pPr>
            <w:r>
              <w:rPr/>
              <w:t> </w:t>
            </w:r>
          </w:p>
        </w:tc>
        <w:tc>
          <w:tcPr>
            <w:tcW w:w="5628" w:type="dxa"/>
            <w:tcBorders/>
            <w:shd w:fill="CCEEFF" w:val="clear"/>
            <w:vAlign w:val="center"/>
          </w:tcPr>
          <w:p>
            <w:pPr>
              <w:pStyle w:val="TableContents"/>
              <w:bidi w:val="0"/>
              <w:spacing w:before="0" w:after="283"/>
              <w:jc w:val="both"/>
              <w:rPr/>
            </w:pPr>
            <w:hyperlink r:id="rId9">
              <w:r>
                <w:rPr>
                  <w:rStyle w:val="InternetLink"/>
                  <w:sz w:val="20"/>
                </w:rPr>
                <w:t>GCL Global Holdings Ltd Equity Incentive Plan.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S-8</w:t>
            </w:r>
          </w:p>
        </w:tc>
        <w:tc>
          <w:tcPr>
            <w:tcW w:w="6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center"/>
              <w:rPr>
                <w:sz w:val="20"/>
              </w:rPr>
            </w:pPr>
            <w:r>
              <w:rPr>
                <w:sz w:val="20"/>
              </w:rPr>
              <w:t>333-286902</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sz w:val="20"/>
              </w:rPr>
            </w:pPr>
            <w:r>
              <w:rPr>
                <w:sz w:val="20"/>
              </w:rPr>
              <w:t>4.2</w:t>
            </w:r>
          </w:p>
        </w:tc>
        <w:tc>
          <w:tcPr>
            <w:tcW w:w="60"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center"/>
              <w:rPr>
                <w:sz w:val="20"/>
              </w:rPr>
            </w:pPr>
            <w:r>
              <w:rPr>
                <w:sz w:val="20"/>
              </w:rPr>
              <w:t>May 1, 2025</w:t>
            </w:r>
          </w:p>
        </w:tc>
      </w:tr>
      <w:tr>
        <w:trPr/>
        <w:tc>
          <w:tcPr>
            <w:tcW w:w="1205" w:type="dxa"/>
            <w:tcBorders/>
            <w:shd w:fill="FFFFFF" w:val="clear"/>
            <w:vAlign w:val="center"/>
          </w:tcPr>
          <w:p>
            <w:pPr>
              <w:pStyle w:val="TableContents"/>
              <w:bidi w:val="0"/>
              <w:spacing w:before="0" w:after="283"/>
              <w:jc w:val="left"/>
              <w:rPr>
                <w:sz w:val="20"/>
              </w:rPr>
            </w:pPr>
            <w:r>
              <w:rPr>
                <w:sz w:val="20"/>
              </w:rPr>
              <w:t>5.1*</w:t>
            </w:r>
          </w:p>
        </w:tc>
        <w:tc>
          <w:tcPr>
            <w:tcW w:w="60" w:type="dxa"/>
            <w:tcBorders/>
            <w:shd w:fill="FFFFFF" w:val="clear"/>
            <w:vAlign w:val="center"/>
          </w:tcPr>
          <w:p>
            <w:pPr>
              <w:pStyle w:val="TableContents"/>
              <w:bidi w:val="0"/>
              <w:spacing w:before="0" w:after="283"/>
              <w:jc w:val="left"/>
              <w:rPr/>
            </w:pPr>
            <w:r>
              <w:rPr/>
              <w:t> </w:t>
            </w:r>
          </w:p>
        </w:tc>
        <w:tc>
          <w:tcPr>
            <w:tcW w:w="5628" w:type="dxa"/>
            <w:tcBorders/>
            <w:shd w:fill="FFFFFF" w:val="clear"/>
            <w:vAlign w:val="center"/>
          </w:tcPr>
          <w:p>
            <w:pPr>
              <w:pStyle w:val="TableContents"/>
              <w:bidi w:val="0"/>
              <w:spacing w:before="0" w:after="283"/>
              <w:jc w:val="both"/>
              <w:rPr/>
            </w:pPr>
            <w:hyperlink w:anchor="ea030748201ex5-1.htm">
              <w:r>
                <w:rPr>
                  <w:rStyle w:val="InternetLink"/>
                  <w:sz w:val="20"/>
                </w:rPr>
                <w:t>Opinion of Carey Olsen Singapore LLP.</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center"/>
              <w:rPr/>
            </w:pPr>
            <w:r>
              <w:rPr/>
              <w:t>—</w:t>
            </w:r>
          </w:p>
        </w:tc>
      </w:tr>
      <w:tr>
        <w:trPr/>
        <w:tc>
          <w:tcPr>
            <w:tcW w:w="1205" w:type="dxa"/>
            <w:tcBorders/>
            <w:shd w:fill="CCEEFF" w:val="clear"/>
            <w:vAlign w:val="center"/>
          </w:tcPr>
          <w:p>
            <w:pPr>
              <w:pStyle w:val="TableContents"/>
              <w:bidi w:val="0"/>
              <w:spacing w:before="0" w:after="283"/>
              <w:jc w:val="left"/>
              <w:rPr>
                <w:sz w:val="20"/>
              </w:rPr>
            </w:pPr>
            <w:r>
              <w:rPr>
                <w:sz w:val="20"/>
              </w:rPr>
              <w:t>23.1*</w:t>
            </w:r>
          </w:p>
        </w:tc>
        <w:tc>
          <w:tcPr>
            <w:tcW w:w="60" w:type="dxa"/>
            <w:tcBorders/>
            <w:shd w:fill="CCEEFF" w:val="clear"/>
            <w:vAlign w:val="center"/>
          </w:tcPr>
          <w:p>
            <w:pPr>
              <w:pStyle w:val="TableContents"/>
              <w:bidi w:val="0"/>
              <w:spacing w:before="0" w:after="283"/>
              <w:jc w:val="left"/>
              <w:rPr/>
            </w:pPr>
            <w:r>
              <w:rPr/>
              <w:t> </w:t>
            </w:r>
          </w:p>
        </w:tc>
        <w:tc>
          <w:tcPr>
            <w:tcW w:w="5628" w:type="dxa"/>
            <w:tcBorders/>
            <w:shd w:fill="CCEEFF" w:val="clear"/>
            <w:vAlign w:val="center"/>
          </w:tcPr>
          <w:p>
            <w:pPr>
              <w:pStyle w:val="TableContents"/>
              <w:bidi w:val="0"/>
              <w:spacing w:before="0" w:after="283"/>
              <w:jc w:val="both"/>
              <w:rPr/>
            </w:pPr>
            <w:hyperlink w:anchor="ea030748201ex23-1.htm">
              <w:r>
                <w:rPr>
                  <w:rStyle w:val="InternetLink"/>
                  <w:sz w:val="20"/>
                </w:rPr>
                <w:t>Consent from Marcum Asia CPAs LLP</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center"/>
              <w:rPr/>
            </w:pPr>
            <w:r>
              <w:rPr/>
              <w:t>—</w:t>
            </w:r>
          </w:p>
        </w:tc>
      </w:tr>
      <w:tr>
        <w:trPr/>
        <w:tc>
          <w:tcPr>
            <w:tcW w:w="1205" w:type="dxa"/>
            <w:tcBorders/>
            <w:shd w:fill="FFFFFF" w:val="clear"/>
            <w:vAlign w:val="center"/>
          </w:tcPr>
          <w:p>
            <w:pPr>
              <w:pStyle w:val="TableContents"/>
              <w:bidi w:val="0"/>
              <w:spacing w:before="0" w:after="283"/>
              <w:jc w:val="left"/>
              <w:rPr>
                <w:sz w:val="20"/>
              </w:rPr>
            </w:pPr>
            <w:r>
              <w:rPr>
                <w:sz w:val="20"/>
              </w:rPr>
              <w:t>23.2*</w:t>
            </w:r>
          </w:p>
        </w:tc>
        <w:tc>
          <w:tcPr>
            <w:tcW w:w="60" w:type="dxa"/>
            <w:tcBorders/>
            <w:shd w:fill="FFFFFF" w:val="clear"/>
            <w:vAlign w:val="center"/>
          </w:tcPr>
          <w:p>
            <w:pPr>
              <w:pStyle w:val="TableContents"/>
              <w:bidi w:val="0"/>
              <w:spacing w:before="0" w:after="283"/>
              <w:jc w:val="left"/>
              <w:rPr/>
            </w:pPr>
            <w:r>
              <w:rPr/>
              <w:t> </w:t>
            </w:r>
          </w:p>
        </w:tc>
        <w:tc>
          <w:tcPr>
            <w:tcW w:w="5628" w:type="dxa"/>
            <w:tcBorders/>
            <w:shd w:fill="FFFFFF" w:val="clear"/>
            <w:vAlign w:val="center"/>
          </w:tcPr>
          <w:p>
            <w:pPr>
              <w:pStyle w:val="TableContents"/>
              <w:bidi w:val="0"/>
              <w:spacing w:before="0" w:after="283"/>
              <w:jc w:val="both"/>
              <w:rPr/>
            </w:pPr>
            <w:hyperlink w:anchor="ea030748201ex23-2.htm">
              <w:r>
                <w:rPr>
                  <w:rStyle w:val="InternetLink"/>
                  <w:sz w:val="20"/>
                </w:rPr>
                <w:t>Consent from Ernst &amp; Young LLP</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center"/>
              <w:rPr/>
            </w:pPr>
            <w:r>
              <w:rPr/>
              <w:t>—</w:t>
            </w:r>
          </w:p>
        </w:tc>
      </w:tr>
      <w:tr>
        <w:trPr/>
        <w:tc>
          <w:tcPr>
            <w:tcW w:w="1205" w:type="dxa"/>
            <w:tcBorders/>
            <w:shd w:fill="CCEEFF" w:val="clear"/>
            <w:vAlign w:val="center"/>
          </w:tcPr>
          <w:p>
            <w:pPr>
              <w:pStyle w:val="TableContents"/>
              <w:bidi w:val="0"/>
              <w:spacing w:before="0" w:after="283"/>
              <w:jc w:val="left"/>
              <w:rPr>
                <w:sz w:val="20"/>
              </w:rPr>
            </w:pPr>
            <w:r>
              <w:rPr>
                <w:sz w:val="20"/>
              </w:rPr>
              <w:t>24.1*</w:t>
            </w:r>
          </w:p>
        </w:tc>
        <w:tc>
          <w:tcPr>
            <w:tcW w:w="60" w:type="dxa"/>
            <w:tcBorders/>
            <w:shd w:fill="CCEEFF" w:val="clear"/>
            <w:vAlign w:val="center"/>
          </w:tcPr>
          <w:p>
            <w:pPr>
              <w:pStyle w:val="TableContents"/>
              <w:bidi w:val="0"/>
              <w:spacing w:before="0" w:after="283"/>
              <w:jc w:val="left"/>
              <w:rPr/>
            </w:pPr>
            <w:r>
              <w:rPr/>
              <w:t> </w:t>
            </w:r>
          </w:p>
        </w:tc>
        <w:tc>
          <w:tcPr>
            <w:tcW w:w="5628" w:type="dxa"/>
            <w:tcBorders/>
            <w:shd w:fill="CCEEFF" w:val="clear"/>
            <w:vAlign w:val="center"/>
          </w:tcPr>
          <w:p>
            <w:pPr>
              <w:pStyle w:val="TableContents"/>
              <w:bidi w:val="0"/>
              <w:spacing w:before="0" w:after="283"/>
              <w:jc w:val="both"/>
              <w:rPr/>
            </w:pPr>
            <w:hyperlink w:anchor="poa_001">
              <w:r>
                <w:rPr>
                  <w:rStyle w:val="InternetLink"/>
                  <w:sz w:val="20"/>
                </w:rPr>
                <w:t>Power of Attorney (included on the signature page of this Registration Statement)</w:t>
              </w:r>
            </w:hyperlink>
            <w:r>
              <w:rPr>
                <w:sz w:val="20"/>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center"/>
              <w:rPr/>
            </w:pPr>
            <w:r>
              <w:rPr/>
              <w:t>—</w:t>
            </w:r>
          </w:p>
        </w:tc>
      </w:tr>
      <w:tr>
        <w:trPr/>
        <w:tc>
          <w:tcPr>
            <w:tcW w:w="1205" w:type="dxa"/>
            <w:tcBorders/>
            <w:shd w:fill="FFFFFF" w:val="clear"/>
            <w:vAlign w:val="center"/>
          </w:tcPr>
          <w:p>
            <w:pPr>
              <w:pStyle w:val="TableContents"/>
              <w:bidi w:val="0"/>
              <w:spacing w:before="0" w:after="283"/>
              <w:jc w:val="left"/>
              <w:rPr>
                <w:sz w:val="20"/>
              </w:rPr>
            </w:pPr>
            <w:r>
              <w:rPr>
                <w:sz w:val="20"/>
              </w:rPr>
              <w:t>107*</w:t>
            </w:r>
          </w:p>
        </w:tc>
        <w:tc>
          <w:tcPr>
            <w:tcW w:w="60" w:type="dxa"/>
            <w:tcBorders/>
            <w:shd w:fill="FFFFFF" w:val="clear"/>
            <w:vAlign w:val="center"/>
          </w:tcPr>
          <w:p>
            <w:pPr>
              <w:pStyle w:val="TableContents"/>
              <w:bidi w:val="0"/>
              <w:spacing w:before="0" w:after="283"/>
              <w:jc w:val="left"/>
              <w:rPr/>
            </w:pPr>
            <w:r>
              <w:rPr/>
              <w:t> </w:t>
            </w:r>
          </w:p>
        </w:tc>
        <w:tc>
          <w:tcPr>
            <w:tcW w:w="5628" w:type="dxa"/>
            <w:tcBorders/>
            <w:shd w:fill="FFFFFF" w:val="clear"/>
            <w:vAlign w:val="center"/>
          </w:tcPr>
          <w:p>
            <w:pPr>
              <w:pStyle w:val="TableContents"/>
              <w:bidi w:val="0"/>
              <w:spacing w:before="0" w:after="283"/>
              <w:jc w:val="both"/>
              <w:rPr/>
            </w:pPr>
            <w:hyperlink w:anchor="ea030748201ex-fee.htm">
              <w:r>
                <w:rPr>
                  <w:rStyle w:val="InternetLink"/>
                  <w:sz w:val="20"/>
                </w:rPr>
                <w:t>Filing Fee Table.</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4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i/>
              </w:rPr>
            </w:pPr>
            <w:r>
              <w:rPr>
                <w:i/>
              </w:rPr>
              <w:t>*</w:t>
            </w:r>
          </w:p>
        </w:tc>
        <w:tc>
          <w:tcPr>
            <w:tcW w:w="1475" w:type="dxa"/>
            <w:tcBorders/>
            <w:vAlign w:val="center"/>
          </w:tcPr>
          <w:p>
            <w:pPr>
              <w:pStyle w:val="TableContents"/>
              <w:bidi w:val="0"/>
              <w:spacing w:before="0" w:after="283"/>
              <w:jc w:val="both"/>
              <w:rPr>
                <w:i/>
              </w:rPr>
            </w:pPr>
            <w:r>
              <w:rPr>
                <w:i/>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Singapore, on October 9, 2026.</w:t>
      </w:r>
    </w:p>
    <w:p>
      <w:pPr>
        <w:pStyle w:val="TextBody"/>
        <w:bidi w:val="0"/>
        <w:spacing w:before="0" w:after="0"/>
        <w:ind w:left="468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545"/>
        <w:gridCol w:w="2510"/>
      </w:tblGrid>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GCL Global Holdings Ltd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Sebastian Toke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Sebastian Toke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Chief Executive Officer</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poa_001"/>
      <w:bookmarkEnd w:id="2"/>
      <w:r>
        <w:rPr>
          <w:rFonts w:ascii="Times New Roman;Times;Serif" w:hAnsi="Times New Roman;Times;Serif"/>
          <w:b/>
          <w:i w:val="false"/>
          <w:caps/>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Sebastian Toke and Kenny Lin,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6825" w:type="dxa"/>
        <w:jc w:val="left"/>
        <w:tblInd w:w="0" w:type="dxa"/>
        <w:tblLayout w:type="fixed"/>
        <w:tblCellMar>
          <w:top w:w="0" w:type="dxa"/>
          <w:left w:w="0" w:type="dxa"/>
          <w:bottom w:w="28" w:type="dxa"/>
          <w:right w:w="0" w:type="dxa"/>
        </w:tblCellMar>
      </w:tblPr>
      <w:tblGrid>
        <w:gridCol w:w="1730"/>
        <w:gridCol w:w="60"/>
        <w:gridCol w:w="3635"/>
        <w:gridCol w:w="60"/>
        <w:gridCol w:w="1340"/>
      </w:tblGrid>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Sebastian Toke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Group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Sebastian Toke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Kenny Lin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Group Chief Financial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Kenny Lin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and Financial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Choo See Wee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Group Chairman</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Choo See Wee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Choo See Ling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Operating Officer and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Choo See Ling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Tse Meng 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Tse Meng 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Joshua Kewei Cui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Kewei Cui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Wilson W. Wang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9,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W. Wang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 OF AUTHORIZED REPRESENTATIVE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the duly authorized representative in the United States of GCL Global Holdings Ltd, has signed this Registration Statement in the City of New York, State of New York, on October 9, 2026.</w:t>
      </w:r>
    </w:p>
    <w:p>
      <w:pPr>
        <w:pStyle w:val="TextBody"/>
        <w:bidi w:val="0"/>
        <w:spacing w:before="0" w:after="0"/>
        <w:ind w:left="468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597"/>
        <w:gridCol w:w="2062"/>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Authorized U.S. Representative</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Cogency Global Inc.</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pPr>
            <w:r>
              <w:rPr/>
              <w:t> </w:t>
            </w:r>
          </w:p>
        </w:tc>
        <w:tc>
          <w:tcPr>
            <w:tcW w:w="20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A. De Vries</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 w:name="ea030748201ex5-1.htm"/>
      <w:bookmarkStart w:id="4" w:name="ksea0307482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173355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733550" cy="152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895475"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895475" cy="800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3755"/>
        <w:gridCol w:w="614"/>
        <w:gridCol w:w="3421"/>
      </w:tblGrid>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ref:  </w:t>
            </w:r>
          </w:p>
        </w:tc>
        <w:tc>
          <w:tcPr>
            <w:tcW w:w="40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AMCK/AK/1084016/0002/G250675070v3</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614" w:type="dxa"/>
            <w:tcBorders/>
            <w:vAlign w:val="center"/>
          </w:tcPr>
          <w:p>
            <w:pPr>
              <w:pStyle w:val="TableContents"/>
              <w:bidi w:val="0"/>
              <w:spacing w:before="0" w:after="283"/>
              <w:ind w:left="0" w:right="0" w:hanging="0"/>
              <w:jc w:val="left"/>
              <w:rPr/>
            </w:pPr>
            <w:r>
              <w:rPr/>
              <w:t> </w:t>
            </w:r>
          </w:p>
        </w:tc>
        <w:tc>
          <w:tcPr>
            <w:tcW w:w="342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ind w:left="0" w:right="0" w:hanging="0"/>
              <w:jc w:val="left"/>
              <w:rPr/>
            </w:pPr>
            <w:r>
              <w:rPr/>
              <w:t> </w:t>
            </w:r>
          </w:p>
        </w:tc>
        <w:tc>
          <w:tcPr>
            <w:tcW w:w="342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614" w:type="dxa"/>
            <w:tcBorders/>
            <w:vAlign w:val="center"/>
          </w:tcPr>
          <w:p>
            <w:pPr>
              <w:pStyle w:val="TableContents"/>
              <w:bidi w:val="0"/>
              <w:spacing w:before="0" w:after="283"/>
              <w:ind w:left="0" w:right="0" w:hanging="0"/>
              <w:jc w:val="left"/>
              <w:rPr/>
            </w:pPr>
            <w:r>
              <w:rPr/>
              <w:t> </w:t>
            </w:r>
          </w:p>
        </w:tc>
        <w:tc>
          <w:tcPr>
            <w:tcW w:w="34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6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GCL GLOBAL HOLDINGS LTD </w:t>
            </w:r>
            <w:r>
              <w:rPr>
                <w:rFonts w:ascii="Times New Roman;Times;Serif" w:hAnsi="Times New Roman;Times;Serif"/>
                <w:b w:val="false"/>
                <w:i w:val="false"/>
                <w:caps w:val="false"/>
                <w:smallCaps w:val="false"/>
                <w:sz w:val="20"/>
              </w:rPr>
              <w:br/>
              <w:t xml:space="preserve">c/o CO Services Cayman Limited </w:t>
              <w:br/>
              <w:t xml:space="preserve">P.O. Box 10008, Pavilion East </w:t>
              <w:br/>
              <w:t xml:space="preserve">Cricket Square </w:t>
              <w:br/>
              <w:t xml:space="preserve">Grand Cayman </w:t>
              <w:br/>
              <w:t xml:space="preserve">KY1-1001, Cayman Islands. </w:t>
            </w:r>
          </w:p>
        </w:tc>
        <w:tc>
          <w:tcPr>
            <w:tcW w:w="34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614" w:type="dxa"/>
            <w:tcBorders/>
            <w:vAlign w:val="center"/>
          </w:tcPr>
          <w:p>
            <w:pPr>
              <w:pStyle w:val="TableContents"/>
              <w:bidi w:val="0"/>
              <w:spacing w:before="0" w:after="283"/>
              <w:ind w:left="0" w:right="0" w:hanging="0"/>
              <w:jc w:val="left"/>
              <w:rPr/>
            </w:pPr>
            <w:r>
              <w:rPr/>
              <w:t> </w:t>
            </w:r>
          </w:p>
        </w:tc>
        <w:tc>
          <w:tcPr>
            <w:tcW w:w="342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tc>
        <w:tc>
          <w:tcPr>
            <w:tcW w:w="614" w:type="dxa"/>
            <w:tcBorders/>
            <w:vAlign w:val="center"/>
          </w:tcPr>
          <w:p>
            <w:pPr>
              <w:pStyle w:val="TableContents"/>
              <w:bidi w:val="0"/>
              <w:spacing w:before="0" w:after="283"/>
              <w:ind w:left="0" w:right="0" w:hanging="0"/>
              <w:jc w:val="left"/>
              <w:rPr/>
            </w:pPr>
            <w:r>
              <w:rPr/>
              <w:t> </w:t>
            </w:r>
          </w:p>
        </w:tc>
        <w:tc>
          <w:tcPr>
            <w:tcW w:w="342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ind w:left="0" w:right="0" w:hanging="0"/>
              <w:jc w:val="left"/>
              <w:rPr/>
            </w:pPr>
            <w:r>
              <w:rPr/>
              <w:t> </w:t>
            </w:r>
          </w:p>
        </w:tc>
        <w:tc>
          <w:tcPr>
            <w:tcW w:w="342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4369" w:type="dxa"/>
            <w:gridSpan w:val="2"/>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(the “Company”)</w:t>
            </w:r>
          </w:p>
        </w:tc>
        <w:tc>
          <w:tcPr>
            <w:tcW w:w="342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as to Cayman Islands law to the Company in connection with the registration statement on Form S-8 to be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or around the date hereof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for the purposes of, registering with the Commission under the Securities Act, 3,840,261 ordinary shares of a par value of US$0.0001 each in the capital of the Company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issuable by the Company pursuant to the share incentive plan adopted by the directors of the Company and effective on 13 February 2025 (the “</w:t>
      </w:r>
      <w:r>
        <w:rPr>
          <w:rFonts w:ascii="Times New Roman;Times;Serif" w:hAnsi="Times New Roman;Times;Serif"/>
          <w:b/>
          <w:i w:val="false"/>
          <w:caps w:val="false"/>
          <w:smallCaps w:val="false"/>
          <w:sz w:val="20"/>
        </w:rPr>
        <w:t>Equity Incentive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Capitalised terms used in this Opinion shall have the meanings ascribed to them in this Opinion and/or the Schedules.</w:t>
      </w:r>
    </w:p>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185"/>
        <w:gridCol w:w="14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4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of Opinion</w:t>
            </w:r>
          </w:p>
        </w:tc>
      </w:tr>
    </w:tbl>
    <w:p>
      <w:pPr>
        <w:pStyle w:val="TextBody"/>
        <w:bidi w:val="0"/>
        <w:spacing w:before="0" w:after="0"/>
        <w:ind w:left="720" w:right="0" w:hanging="72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only on the laws of the Cayman Islands in force at the date hereof and is based solely on matters of fact known to us at the date hereof. We have not investigated the laws or regulations of any jurisdiction other than the Cayman Islands. We express no opinion as to matters of fact or, unless expressly stated otherwise, the veracity of any representations or warranties given in or in connection with any of the documents set out in Schedule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Carey Olsen Singapore LLP (Registration No. T15LL1127K) is a limited liability partnership registered in Singapore under the Limited Liability Partnerships Act (Chapter 163A)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36335"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6236335" cy="6858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2</w:t>
            </w:r>
          </w:p>
        </w:tc>
      </w:tr>
    </w:tbl>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Reviewed and Enquiries Made</w:t>
            </w:r>
          </w:p>
        </w:tc>
      </w:tr>
    </w:tbl>
    <w:p>
      <w:pPr>
        <w:pStyle w:val="TextBody"/>
        <w:bidi w:val="0"/>
        <w:spacing w:before="0" w:after="0"/>
        <w:ind w:left="720" w:right="0" w:hanging="72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reviewed copies, conformed copies, certified copies or notarised copies of the documents set out in Schedule 1.</w:t>
      </w:r>
    </w:p>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and Qualifications</w:t>
            </w:r>
          </w:p>
        </w:tc>
      </w:tr>
    </w:tbl>
    <w:p>
      <w:pPr>
        <w:pStyle w:val="TextBody"/>
        <w:bidi w:val="0"/>
        <w:spacing w:before="0" w:after="0"/>
        <w:ind w:left="720" w:right="0" w:hanging="72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on the basis that the assumptions set out in Schedule 2 (which we have not independently investigated or verified) are true, complete and accurate in all respects. In addition, this Opinion is subject to the qualifications set out in Schedule 3.</w:t>
      </w:r>
    </w:p>
    <w:p>
      <w:pPr>
        <w:pStyle w:val="TextBody"/>
        <w:bidi w:val="0"/>
        <w:spacing w:before="0" w:after="0"/>
        <w:ind w:left="0" w:right="0" w:hanging="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185"/>
        <w:gridCol w:w="8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720" w:right="0" w:hanging="720"/>
        <w:jc w:val="both"/>
        <w:rPr>
          <w:caps/>
        </w:rPr>
      </w:pPr>
      <w:r>
        <w:rPr>
          <w:caps/>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 the opinion that:</w:t>
      </w:r>
    </w:p>
    <w:p>
      <w:pPr>
        <w:pStyle w:val="TextBody"/>
        <w:bidi w:val="0"/>
        <w:spacing w:before="0" w:after="0"/>
        <w:ind w:left="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90"/>
        <w:gridCol w:w="33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incorporation, existence and status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duly incorporated as an exempted company with limited liability under the Companies Act (as revised) of the Cayman Islands, is validly existing and was, at the date of the Certificate of Good Standing, in good standing with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the Articles, the authorised share capital of the Company is US$50,000 divided into 500,000,000 shares of a par value of US$0.0001 each.</w:t>
      </w:r>
    </w:p>
    <w:p>
      <w:pPr>
        <w:pStyle w:val="TextBody"/>
        <w:bidi w:val="0"/>
        <w:spacing w:before="0" w:after="0"/>
        <w:ind w:left="72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290"/>
        <w:gridCol w:w="2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9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Ordinary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Ordinary Shares under the Equity Incentive Plan and registered under the Registration Statement have been duly authorised, and when issued and paid for in accordance with the Resolutions, the Articles and the Registration Statement and entered on the register of members of the Company, such Ordinary Shares will be validly issued, fully paid and non-assessable.</w:t>
      </w:r>
    </w:p>
    <w:p>
      <w:pPr>
        <w:pStyle w:val="TextBody"/>
        <w:bidi w:val="0"/>
        <w:spacing w:before="0" w:after="0"/>
        <w:ind w:left="72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185"/>
        <w:gridCol w:w="7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Reliance</w:t>
            </w:r>
          </w:p>
        </w:tc>
      </w:tr>
    </w:tbl>
    <w:p>
      <w:pPr>
        <w:pStyle w:val="TextBody"/>
        <w:bidi w:val="0"/>
        <w:spacing w:before="0" w:after="0"/>
        <w:ind w:left="720" w:right="0" w:hanging="72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referred to in this Opinion we have not examined, and give no opinion on, any contracts, instruments or other documents. We do not give any opinion on the commercial merits of any transaction contemplated or entered into under or pursuant to the Issuance Documents (as defined below). This Opinion is issued solely for the purposes of the filing of the Registration Statement and the offering of the Ordinary Shares by the Company and is not to be relied upon in respect of any other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(and any obligations arising out of or in connection with it) is given on the basis that it shall be governed by and construed in accordance with the laws of the Cayman Islands. By relying on the opinions set out in this Opinion the addressee(s) hereby irrevocably agree(s) that the courts of the Cayman Islands are to have exclusive jurisdiction to settle any disputes which may arise in connection with this Opinion. We assume no responsibility to advise any person entitled to rely on this Opinion, or to undertake any investigations, as to any change in Cayman Islands law (or its application) or factual matters arising after the date of this Opinion, which might affect the opinions set out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 5.1 and 23.1 to the Registration Statement. We hereby consent to the filing of this opinion as an exhibit to the Registration Statement.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however, this Opinion is addressed to, and is solely for the benefit of, the addressee and may not be relied upon by any other person without our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both"/>
        <w:rPr>
          <w:caps w:val="false"/>
          <w:smallCaps w:val="false"/>
        </w:rPr>
      </w:pPr>
      <w:r>
        <w:rPr>
          <w:caps w:val="false"/>
          <w:smallCaps w:val="false"/>
        </w:rPr>
        <w:t> </w:t>
      </w:r>
    </w:p>
    <w:tbl>
      <w:tblPr>
        <w:tblW w:w="1565" w:type="dxa"/>
        <w:jc w:val="left"/>
        <w:tblInd w:w="0" w:type="dxa"/>
        <w:tblLayout w:type="fixed"/>
        <w:tblCellMar>
          <w:top w:w="0" w:type="dxa"/>
          <w:left w:w="0" w:type="dxa"/>
          <w:bottom w:w="28" w:type="dxa"/>
          <w:right w:w="0" w:type="dxa"/>
        </w:tblCellMar>
      </w:tblPr>
      <w:tblGrid>
        <w:gridCol w:w="1490"/>
        <w:gridCol w:w="75"/>
      </w:tblGrid>
      <w:tr>
        <w:trPr/>
        <w:tc>
          <w:tcPr>
            <w:tcW w:w="1490" w:type="dxa"/>
            <w:tcBorders>
              <w:bottom w:val="single" w:sz="12" w:space="0" w:color="000000"/>
            </w:tcBorders>
            <w:vAlign w:val="center"/>
          </w:tcPr>
          <w:p>
            <w:pPr>
              <w:pStyle w:val="TableContents"/>
              <w:bidi w:val="0"/>
              <w:spacing w:before="0" w:after="283"/>
              <w:jc w:val="left"/>
              <w:rPr/>
            </w:pPr>
            <w:r>
              <w:rPr/>
              <w:t>/s/ Carey Olsen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Carey Olsen Singapore LLP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38250"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238250" cy="3143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3</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DOCUMENTS REVIEWED</w:t>
      </w:r>
    </w:p>
    <w:p>
      <w:pPr>
        <w:pStyle w:val="TextBody"/>
        <w:bidi w:val="0"/>
        <w:spacing w:before="0" w:after="0"/>
        <w:jc w:val="center"/>
        <w:rPr>
          <w:caps/>
        </w:rPr>
      </w:pPr>
      <w:r>
        <w:rPr>
          <w:caps/>
        </w:rPr>
        <w:t> </w:t>
      </w:r>
    </w:p>
    <w:tbl>
      <w:tblPr>
        <w:tblW w:w="2005" w:type="dxa"/>
        <w:jc w:val="left"/>
        <w:tblInd w:w="0" w:type="dxa"/>
        <w:tblLayout w:type="fixed"/>
        <w:tblCellMar>
          <w:top w:w="0" w:type="dxa"/>
          <w:left w:w="0" w:type="dxa"/>
          <w:bottom w:w="0" w:type="dxa"/>
          <w:right w:w="0" w:type="dxa"/>
        </w:tblCellMar>
      </w:tblPr>
      <w:tblGrid>
        <w:gridCol w:w="200"/>
        <w:gridCol w:w="1805"/>
      </w:tblGrid>
      <w:tr>
        <w:trPr/>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w:t>
            </w:r>
          </w:p>
        </w:tc>
        <w:tc>
          <w:tcPr>
            <w:tcW w:w="18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Documents Reviewed</w:t>
            </w:r>
          </w:p>
        </w:tc>
      </w:tr>
    </w:tbl>
    <w:p>
      <w:pPr>
        <w:pStyle w:val="TextBody"/>
        <w:bidi w:val="0"/>
        <w:spacing w:before="0" w:after="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85"/>
        <w:gridCol w:w="58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the Company dated 12 October 2023.</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of the Company adopted by special resolution passed on 13 February 2025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and the register of directors and officers of the Company as at October 9, 2026 (together the “</w:t>
            </w:r>
            <w:r>
              <w:rPr>
                <w:rFonts w:ascii="Times New Roman;Times;Serif" w:hAnsi="Times New Roman;Times;Serif"/>
                <w:b/>
                <w:i w:val="false"/>
                <w:caps w:val="false"/>
                <w:smallCaps w:val="false"/>
                <w:sz w:val="20"/>
              </w:rPr>
              <w:t>Company Records</w:t>
            </w: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of good standing relating to the Company issued by the Registrar dated October 6, 2026 (the “</w:t>
            </w:r>
            <w:r>
              <w:rPr>
                <w:rFonts w:ascii="Times New Roman;Times;Serif" w:hAnsi="Times New Roman;Times;Serif"/>
                <w:b/>
                <w:i w:val="false"/>
                <w:caps w:val="false"/>
                <w:smallCaps w:val="false"/>
                <w:sz w:val="20"/>
              </w:rPr>
              <w:t>Certificate of Good Standing</w:t>
            </w: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unanimous written resolutions of the directors of the Company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dated 30 April 2025 approving (i) the adoption of the Equity Incentive Plan on 13 February 2025, (ii) the registration statement on Form S-8 publicly filed with the Commission on 1 May 2025 and matters contained therein, the unanimous written resolutions of the members of the compensation committee of the Company dated 29 April 2025, and the unanimous written resolutions of the Directors in relation to the Registration Statement dated October 9, 2026 (together,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185"/>
        <w:gridCol w:w="73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to be filed with the Commission on or around October 9, 2026.</w:t>
            </w:r>
          </w:p>
        </w:tc>
      </w:tr>
    </w:tbl>
    <w:p>
      <w:pPr>
        <w:pStyle w:val="TextBody"/>
        <w:bidi w:val="0"/>
        <w:spacing w:before="0" w:after="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85"/>
        <w:gridCol w:w="22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Plan.</w:t>
            </w:r>
          </w:p>
        </w:tc>
      </w:tr>
    </w:tbl>
    <w:p>
      <w:pPr>
        <w:pStyle w:val="TextBody"/>
        <w:bidi w:val="0"/>
        <w:spacing w:before="0" w:after="0"/>
        <w:jc w:val="both"/>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00"/>
        <w:gridCol w:w="560"/>
      </w:tblGrid>
      <w:tr>
        <w:trPr/>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w:t>
            </w:r>
          </w:p>
        </w:tc>
        <w:tc>
          <w:tcPr>
            <w:tcW w:w="5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Scope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are the only documents we have examined for the purposes of this Opinion.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38250"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238250" cy="314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4</w:t>
            </w:r>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ASSUMPTIONS</w:t>
      </w:r>
    </w:p>
    <w:p>
      <w:pPr>
        <w:pStyle w:val="TextBody"/>
        <w:bidi w:val="0"/>
        <w:spacing w:before="0" w:after="0"/>
        <w:jc w:val="center"/>
        <w:rPr>
          <w:caps/>
        </w:rPr>
      </w:pPr>
      <w:r>
        <w:rPr>
          <w:caps/>
        </w:rPr>
        <w:t> </w:t>
      </w:r>
    </w:p>
    <w:tbl>
      <w:tblPr>
        <w:tblW w:w="2575" w:type="dxa"/>
        <w:jc w:val="left"/>
        <w:tblInd w:w="0" w:type="dxa"/>
        <w:tblLayout w:type="fixed"/>
        <w:tblCellMar>
          <w:top w:w="0" w:type="dxa"/>
          <w:left w:w="0" w:type="dxa"/>
          <w:bottom w:w="0" w:type="dxa"/>
          <w:right w:w="0" w:type="dxa"/>
        </w:tblCellMar>
      </w:tblPr>
      <w:tblGrid>
        <w:gridCol w:w="185"/>
        <w:gridCol w:w="239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as follows: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authenticity, accuracy and completeness of all documents supplied to us, whether as originals or copies and of all factual representations expressed in or implied by the documents we have examined.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where we have been provided with a document in executed form or with only the signature page of an executed document, that such executed document does not differ from the latest draft version of the document provided to us and, where a document has been reviewed by us in draft or specimen form, it will be or has been executed in the form of that draft or specimen.</w:t>
            </w:r>
          </w:p>
        </w:tc>
      </w:tr>
    </w:tbl>
    <w:p>
      <w:pPr>
        <w:pStyle w:val="TextBody"/>
        <w:bidi w:val="0"/>
        <w:spacing w:before="0" w:after="0"/>
        <w:ind w:left="720" w:right="0" w:hanging="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90"/>
        <w:gridCol w:w="36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initials and seals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90"/>
        <w:gridCol w:w="84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are complete and accurate and remain in full force and effect and are unamended.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Resolutions remain in full force and effect and have not been amended, modified, supplemented, revoked, rescinded or terminated in any way, and any minutes are a true and correct record of the proceedings of the relevant meeting, which was duly convened and held and at which a quorum was present throughout in the manner prescribed in the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applicable definitive option, purchase, underwriting, warrant, agency, award agreement or similar agreements in respect of such issuance (the “</w:t>
            </w:r>
            <w:r>
              <w:rPr>
                <w:rFonts w:ascii="Times New Roman;Times;Serif" w:hAnsi="Times New Roman;Times;Serif"/>
                <w:b/>
                <w:i w:val="false"/>
                <w:caps w:val="false"/>
                <w:smallCaps w:val="false"/>
                <w:sz w:val="20"/>
              </w:rPr>
              <w:t>Issuance Documents</w:t>
            </w:r>
            <w:r>
              <w:rPr>
                <w:rFonts w:ascii="Times New Roman;Times;Serif" w:hAnsi="Times New Roman;Times;Serif"/>
                <w:b w:val="false"/>
                <w:i w:val="false"/>
                <w:caps w:val="false"/>
                <w:smallCaps w:val="false"/>
                <w:sz w:val="20"/>
              </w:rPr>
              <w:t>”) will be duly executed and delivered by or on behalf of the Company and all other parties thereto.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power (including both capacity and authority), legal right and good standing of each of the parties (other than the Company as a matter of Cayman law) to the Issuance Documents to execute, date, unconditionally deliver and perform their obligations under the Issuance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applicable Issuance Documents relating to any Ordinary Shares to be offered and issued will constitute legal, valid and binding obligations, enforceable in accordance with their terms of each of the parties in accordance with all applicable law (other than the Company as a matter of Cayman law.</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bdr w:val="single" w:sz="12" w:space="1" w:color="000000"/>
        </w:rPr>
      </w:pPr>
      <w:r>
        <w:rPr>
          <w:bdr w:val="single" w:sz="12"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5</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resolutions, agreements, documents or arrangements which materially affect, amend or vary the transactions contemplated by the Registration Statement, the Equity Incentive Plan or the Issuance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and payment for the Ordinary Shares, or exercise of warrants, options or awards in respect of the Ordinary Shares, will be in accordance with the applicable Issuance Documents, the Equity Incentive Plan and the Registration Statement (including any applicable supplement thereto).</w:t>
            </w:r>
          </w:p>
        </w:tc>
      </w:tr>
    </w:tbl>
    <w:p>
      <w:pPr>
        <w:pStyle w:val="TextBody"/>
        <w:bidi w:val="0"/>
        <w:spacing w:before="0" w:after="0"/>
        <w:ind w:left="720" w:right="0" w:hanging="72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95"/>
        <w:gridCol w:w="67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no party is aware of any improper purpose for the issue of the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395"/>
        <w:gridCol w:w="83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law or regulation of any jurisdiction other than the Cayman Islands qualifies or affects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under the laws of the United States of America of the Registration Statement and that the Registration Statement will be duly filed with and declared effective by the Commission; and that the Registration Statement declared effective by the Commission will be in substantially the same form as that examined by us for purposes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issuance of any Ordinary Shares under the Equity Incentive Plan, the Company will have sufficient authorised but unissued Ordinary Shares in is share capital.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upon issue of any Ordinary Shares under the Equity Incentive Plan by the Company the Company will receive consideration for the full issue price thereof which shall be equal to at least the par value thereof.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6</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QUALIFICATIONS</w:t>
      </w:r>
    </w:p>
    <w:p>
      <w:pPr>
        <w:pStyle w:val="TextBody"/>
        <w:bidi w:val="0"/>
        <w:spacing w:before="0" w:after="0"/>
        <w:jc w:val="center"/>
        <w:rPr>
          <w:caps/>
        </w:rPr>
      </w:pPr>
      <w:r>
        <w:rPr>
          <w:caps/>
        </w:rPr>
        <w:t> </w:t>
      </w:r>
    </w:p>
    <w:tbl>
      <w:tblPr>
        <w:tblW w:w="4690" w:type="dxa"/>
        <w:jc w:val="left"/>
        <w:tblInd w:w="0" w:type="dxa"/>
        <w:tblLayout w:type="fixed"/>
        <w:tblCellMar>
          <w:top w:w="0" w:type="dxa"/>
          <w:left w:w="0" w:type="dxa"/>
          <w:bottom w:w="0" w:type="dxa"/>
          <w:right w:w="0" w:type="dxa"/>
        </w:tblCellMar>
      </w:tblPr>
      <w:tblGrid>
        <w:gridCol w:w="185"/>
        <w:gridCol w:w="450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the phrase “non-assessable” means, with respect to the Ordinary Shares in the Company, that a shareholder shall not, solely by virtue of its status as a shareholder, and in absence of a contractual arrangement, or an obligation pursuant to the Articles, to the contrary, be liable for additional assessments or calls on the Ordinary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register of members of a Cayman Islands company provides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the legal ownership of registered shares in a company. No purported creation or transfer of legal title to Ordinary Shares is effective until the register of members is updated accordingly. However, an entry in the register of members may be subject to rectification (for example, in the case of fraud or manifest error).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issue of Ordinary Shares that takes place after the commencement of the winding up of the Company is void unless consented to by the liquidator (in the case of a voluntary winding up of the Company) or the courts of the Cayman Islands (in the case of a court-supervised winding up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Company in good standing under the laws of the Cayman Islands, annual filing fees must be paid and returns made to the Registrar within the time frame prescribed by law.</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bdr w:val="single" w:sz="12" w:space="1" w:color="000000"/>
        </w:rPr>
      </w:pPr>
      <w:r>
        <w:rPr>
          <w:bdr w:val="single" w:sz="12" w:space="1" w:color="000000"/>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jc w:val="right"/>
        <w:rPr>
          <w:b/>
        </w:rPr>
      </w:pPr>
      <w:bookmarkStart w:id="5" w:name="ea030748201ex23-1.htm"/>
      <w:bookmarkStart w:id="6" w:name="ksea030748201ex231"/>
      <w:bookmarkEnd w:id="5"/>
      <w:bookmarkEnd w:id="6"/>
      <w:r>
        <w:rPr>
          <w:b/>
        </w:rPr>
        <w:t>Exhibit 23.1</w:t>
      </w:r>
      <w:r>
        <w:br w:type="page"/>
      </w:r>
    </w:p>
    <w:p>
      <w:pPr>
        <w:pStyle w:val="TextBody"/>
        <w:bidi w:val="0"/>
        <w:spacing w:before="0" w:after="283"/>
        <w:jc w:val="left"/>
        <w:rPr/>
      </w:pPr>
      <w:r>
        <w:rPr/>
        <w:t> </w:t>
      </w:r>
    </w:p>
    <w:p>
      <w:pPr>
        <w:pStyle w:val="TextBody"/>
        <w:bidi w:val="0"/>
        <w:jc w:val="center"/>
        <w:rPr/>
      </w:pPr>
      <w:r>
        <w:rPr/>
        <w:t> </w:t>
      </w:r>
      <w:r>
        <w:rPr/>
        <w:drawing>
          <wp:inline distT="0" distB="0" distL="0" distR="0">
            <wp:extent cx="2095500"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2095500" cy="266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July 31, 2025 relating to the consolidated financial statements appearing in the Annual Report on Form 20-F of GCL Global Holdings Ltd. for the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OFFICE ● 7 Penn Plaza ● Suite 830 ● New York, New York ● 10001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646.442.4845 ● Fax 646.349.5200 ● www.marcumasia.com</w:t>
      </w:r>
    </w:p>
    <w:p>
      <w:pPr>
        <w:pStyle w:val="TextBody"/>
        <w:bidi w:val="0"/>
        <w:jc w:val="right"/>
        <w:rPr>
          <w:b/>
        </w:rPr>
      </w:pPr>
      <w:bookmarkStart w:id="7" w:name="ea030748201ex23-2.htm"/>
      <w:bookmarkStart w:id="8" w:name="ksea030748201ex232"/>
      <w:bookmarkEnd w:id="7"/>
      <w:bookmarkEnd w:id="8"/>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GCL Global Holdings Ltd. Equity Incentive Plan, of our report dated July 31, 2026, with respect to the consolidated financial statements of GCL Global Holdings Ltd. included in its Annual Report (Form 20-F) for the year ended March 31, 2026,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240"/>
        <w:jc w:val="right"/>
        <w:rPr>
          <w:rFonts w:ascii="Times New Roman;Times;Serif" w:hAnsi="Times New Roman;Times;Serif"/>
          <w:b/>
          <w:i w:val="false"/>
          <w:caps w:val="false"/>
          <w:smallCaps w:val="false"/>
          <w:sz w:val="24"/>
        </w:rPr>
      </w:pPr>
      <w:bookmarkStart w:id="9" w:name="ea030748201ex-fee.htm"/>
      <w:bookmarkStart w:id="10" w:name="ksea0307482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GCL Global Holdings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74"/>
        <w:gridCol w:w="60"/>
        <w:gridCol w:w="928"/>
        <w:gridCol w:w="60"/>
        <w:gridCol w:w="575"/>
        <w:gridCol w:w="60"/>
        <w:gridCol w:w="1143"/>
        <w:gridCol w:w="60"/>
        <w:gridCol w:w="1115"/>
        <w:gridCol w:w="60"/>
        <w:gridCol w:w="202"/>
        <w:gridCol w:w="988"/>
        <w:gridCol w:w="60"/>
        <w:gridCol w:w="161"/>
        <w:gridCol w:w="1478"/>
        <w:gridCol w:w="60"/>
        <w:gridCol w:w="920"/>
        <w:gridCol w:w="60"/>
        <w:gridCol w:w="224"/>
        <w:gridCol w:w="1117"/>
      </w:tblGrid>
      <w:tr>
        <w:trPr/>
        <w:tc>
          <w:tcPr>
            <w:tcW w:w="8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r>
      <w:tr>
        <w:trPr/>
        <w:tc>
          <w:tcPr>
            <w:tcW w:w="874"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28"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4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r>
      <w:tr>
        <w:trPr/>
        <w:tc>
          <w:tcPr>
            <w:tcW w:w="874"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3,840,261</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0.7870</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478" w:type="dxa"/>
            <w:tcBorders/>
            <w:vAlign w:val="center"/>
          </w:tcPr>
          <w:p>
            <w:pPr>
              <w:pStyle w:val="TableContents"/>
              <w:bidi w:val="0"/>
              <w:spacing w:before="0" w:after="283"/>
              <w:jc w:val="right"/>
              <w:rPr/>
            </w:pPr>
            <w:r>
              <w:rPr/>
              <w:t>3,022,285.41</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0.000087</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117" w:type="dxa"/>
            <w:tcBorders/>
            <w:vAlign w:val="center"/>
          </w:tcPr>
          <w:p>
            <w:pPr>
              <w:pStyle w:val="TableContents"/>
              <w:bidi w:val="0"/>
              <w:spacing w:before="0" w:after="283"/>
              <w:jc w:val="right"/>
              <w:rPr/>
            </w:pPr>
            <w:r>
              <w:rPr/>
              <w:t>262.94</w:t>
            </w:r>
          </w:p>
        </w:tc>
      </w:tr>
      <w:tr>
        <w:trPr/>
        <w:tc>
          <w:tcPr>
            <w:tcW w:w="8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c>
          <w:tcPr>
            <w:tcW w:w="147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25"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478" w:type="dxa"/>
            <w:tcBorders/>
            <w:vAlign w:val="center"/>
          </w:tcPr>
          <w:p>
            <w:pPr>
              <w:pStyle w:val="TableContents"/>
              <w:bidi w:val="0"/>
              <w:spacing w:before="0" w:after="283"/>
              <w:jc w:val="right"/>
              <w:rPr/>
            </w:pPr>
            <w:r>
              <w:rPr/>
              <w:t>3,022,285.41</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262.94</w:t>
            </w:r>
          </w:p>
        </w:tc>
      </w:tr>
      <w:tr>
        <w:trPr/>
        <w:tc>
          <w:tcPr>
            <w:tcW w:w="6125"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single" w:sz="8" w:space="0" w:color="000000"/>
            </w:tcBorders>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25"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double" w:sz="8" w:space="0" w:color="000000"/>
            </w:tcBorders>
            <w:tcMar>
              <w:bottom w:w="28" w:type="dxa"/>
            </w:tcMar>
            <w:vAlign w:val="center"/>
          </w:tcPr>
          <w:p>
            <w:pPr>
              <w:pStyle w:val="TableContents"/>
              <w:bidi w:val="0"/>
              <w:spacing w:before="0" w:after="283"/>
              <w:jc w:val="left"/>
              <w:rPr/>
            </w:pPr>
            <w:r>
              <w:rPr/>
              <w:t>$</w:t>
            </w:r>
          </w:p>
        </w:tc>
        <w:tc>
          <w:tcPr>
            <w:tcW w:w="1117" w:type="dxa"/>
            <w:tcBorders>
              <w:bottom w:val="double" w:sz="8" w:space="0" w:color="000000"/>
            </w:tcBorders>
            <w:tcMar>
              <w:bottom w:w="28" w:type="dxa"/>
            </w:tcMar>
            <w:vAlign w:val="center"/>
          </w:tcPr>
          <w:p>
            <w:pPr>
              <w:pStyle w:val="TableContents"/>
              <w:bidi w:val="0"/>
              <w:spacing w:before="0" w:after="283"/>
              <w:jc w:val="right"/>
              <w:rPr/>
            </w:pPr>
            <w:r>
              <w:rPr/>
              <w:t>262.94</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Pursuant to Rule 416(a) promulgated under the Securities Act of 1933, as amended, this Registration Statement shall also cover any additional ordinary shares of GCL Global Holdings Ltd. (the “Registrant”) that become issuable under the GCL Global Holdings Ltd. Equity Incentive Plan (the “Plan”) set forth herein by reason of any stock dividend, stock split, recapitalization, or other similar transaction effected that results in an increase to the number of outstanding shares of the Registrant’s ordinary shares, as applicable.</w:t>
              <w:br/>
              <w:br/>
              <w:t>Represents 3,840,261 additional ordinary shares that were automatically added to the shares authorized for issuance under the Plan on April 1, 2026 pursuant to an annual “evergreen” increase provision contained in the Plan. Pursuant to such provision, the number of shares reserved for issuance under the Plan will automatically increase on April 1 of each year for a period of ten years commencing on April 1, 2026 and ending on (and including) April 1, 2036, in an amount equal to 3% of the total number of Ordinary Shares outstanding on March 31 of the preceding year, provided, however, that the board of the directors of the Registrant may act prior to April 1 of a given year to provide that the increase for such year will be a lesser number of ordinary shares.</w:t>
              <w:br/>
              <w:br/>
              <w:t>The proposed maximum offering price per Ordinary Share, which is estimated solely for the purposes of calculating the registration fee under Rule 457(h) and Rule 457(c) under the Securities Act, is based on US$0.787 per Ordinary Share, the average of the high and low prices for the Company’s Ordinary Shares as quoted on the Nasdaq Capital Market on October 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02045/000121390026084021/ea0297613-20f_gclglobal.htm" TargetMode="External"/><Relationship Id="rId3" Type="http://schemas.openxmlformats.org/officeDocument/2006/relationships/hyperlink" Target="http://www.sec.gov/Archives/edgar/data/2002045/000121390026094639/ea0303805-6k_gcl.htm" TargetMode="External"/><Relationship Id="rId4" Type="http://schemas.openxmlformats.org/officeDocument/2006/relationships/hyperlink" Target="http://www.sec.gov/Archives/edgar/data/2002045/000121390026100748/ea0305775-6k_gclglobal.htm" TargetMode="External"/><Relationship Id="rId5" Type="http://schemas.openxmlformats.org/officeDocument/2006/relationships/hyperlink" Target="https://www.sec.gov/Archives/edgar/data/2002045/000121390026084021/ea029761301ex2-1.htm" TargetMode="External"/><Relationship Id="rId6" Type="http://schemas.openxmlformats.org/officeDocument/2006/relationships/hyperlink" Target="http://www.sec.gov/ix?doc=/Archives/edgar/data/2002045/000121390026084021/ea0297613-20f_gclglobal.htm" TargetMode="External"/><Relationship Id="rId7" Type="http://schemas.openxmlformats.org/officeDocument/2006/relationships/hyperlink" Target="https://www.sec.gov/Archives/edgar/data/2002045/000121390025017448/ea023214801ex1-1_gclglobal.htm" TargetMode="External"/><Relationship Id="rId8" Type="http://schemas.openxmlformats.org/officeDocument/2006/relationships/hyperlink" Target="https://www.sec.gov/Archives/edgar/data/2002045/000121390025038431/ea023966401ex4-1_gclglobal.htm" TargetMode="External"/><Relationship Id="rId9" Type="http://schemas.openxmlformats.org/officeDocument/2006/relationships/hyperlink" Target="https://www.sec.gov/Archives/edgar/data/2002045/000121390025038431/ea023966401ex4-2_gclglobal.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3763</Words>
  <Characters>19505</Characters>
  <CharactersWithSpaces>23380</CharactersWithSpaces>
  <Paragraphs>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